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B3745" w14:textId="77777777" w:rsidR="00000000" w:rsidRDefault="00000000">
      <w:pPr>
        <w:pStyle w:val="Footer"/>
      </w:pPr>
      <w:bookmarkStart w:id="0" w:name="_Toc22876"/>
    </w:p>
    <w:p w14:paraId="00240D30" w14:textId="77777777" w:rsidR="00000000" w:rsidRDefault="00000000">
      <w:pPr>
        <w:overflowPunct w:val="0"/>
        <w:adjustRightInd w:val="0"/>
        <w:snapToGrid w:val="0"/>
        <w:spacing w:line="500" w:lineRule="exact"/>
        <w:rPr>
          <w:rFonts w:eastAsia="FangSong_GB2312" w:cs="Times New Roman"/>
          <w:kern w:val="0"/>
          <w:sz w:val="40"/>
          <w:szCs w:val="40"/>
        </w:rPr>
      </w:pPr>
    </w:p>
    <w:p w14:paraId="021AA9FB" w14:textId="77777777" w:rsidR="00000000" w:rsidRDefault="00000000">
      <w:pPr>
        <w:overflowPunct w:val="0"/>
        <w:adjustRightInd w:val="0"/>
        <w:snapToGrid w:val="0"/>
        <w:spacing w:line="500" w:lineRule="exact"/>
        <w:rPr>
          <w:rFonts w:eastAsia="FangSong_GB2312" w:cs="Times New Roman"/>
          <w:kern w:val="0"/>
          <w:sz w:val="40"/>
          <w:szCs w:val="40"/>
        </w:rPr>
      </w:pPr>
    </w:p>
    <w:p w14:paraId="53F7B6DC" w14:textId="77777777" w:rsidR="00000000" w:rsidRDefault="00000000">
      <w:pPr>
        <w:pStyle w:val="Footer"/>
      </w:pPr>
    </w:p>
    <w:p w14:paraId="612EF25F" w14:textId="77777777" w:rsidR="00000000" w:rsidRDefault="00000000">
      <w:pPr>
        <w:shd w:val="clear" w:color="050000" w:fill="auto"/>
        <w:overflowPunct w:val="0"/>
        <w:adjustRightInd w:val="0"/>
        <w:snapToGrid w:val="0"/>
        <w:spacing w:line="500" w:lineRule="exact"/>
        <w:rPr>
          <w:rFonts w:eastAsia="FangSong_GB2312" w:cs="Times New Roman"/>
          <w:sz w:val="40"/>
          <w:szCs w:val="40"/>
        </w:rPr>
      </w:pPr>
      <w:bookmarkStart w:id="1" w:name="_Toc1107"/>
      <w:bookmarkStart w:id="2" w:name="_Toc28451"/>
    </w:p>
    <w:bookmarkEnd w:id="1"/>
    <w:bookmarkEnd w:id="2"/>
    <w:p w14:paraId="611505F8" w14:textId="77777777" w:rsidR="00000000" w:rsidRDefault="00000000">
      <w:pPr>
        <w:shd w:val="clear" w:color="050000" w:fill="auto"/>
        <w:overflowPunct w:val="0"/>
        <w:adjustRightInd w:val="0"/>
        <w:snapToGrid w:val="0"/>
        <w:spacing w:line="800" w:lineRule="exact"/>
        <w:jc w:val="center"/>
        <w:rPr>
          <w:rFonts w:eastAsia="方正小标宋简体" w:cs="Times New Roman"/>
          <w:sz w:val="44"/>
          <w:szCs w:val="44"/>
        </w:rPr>
      </w:pPr>
      <w:r>
        <w:rPr>
          <w:rFonts w:eastAsia="方正小标宋简体" w:cs="Times New Roman"/>
          <w:sz w:val="44"/>
          <w:szCs w:val="44"/>
        </w:rPr>
        <w:t>海南省</w:t>
      </w:r>
      <w:r>
        <w:rPr>
          <w:rFonts w:eastAsia="方正小标宋简体" w:cs="Times New Roman" w:hint="eastAsia"/>
          <w:sz w:val="44"/>
          <w:szCs w:val="44"/>
        </w:rPr>
        <w:t>“</w:t>
      </w:r>
      <w:r>
        <w:rPr>
          <w:rFonts w:eastAsia="方正小标宋简体" w:cs="Times New Roman"/>
          <w:sz w:val="44"/>
          <w:szCs w:val="44"/>
        </w:rPr>
        <w:t>十五五</w:t>
      </w:r>
      <w:r>
        <w:rPr>
          <w:rFonts w:eastAsia="方正小标宋简体" w:cs="Times New Roman" w:hint="eastAsia"/>
          <w:sz w:val="44"/>
          <w:szCs w:val="44"/>
        </w:rPr>
        <w:t>”</w:t>
      </w:r>
      <w:r>
        <w:rPr>
          <w:rFonts w:eastAsia="方正小标宋简体" w:cs="Times New Roman"/>
          <w:sz w:val="44"/>
          <w:szCs w:val="44"/>
        </w:rPr>
        <w:t>综合交通运输规划</w:t>
      </w:r>
    </w:p>
    <w:p w14:paraId="7E92E4AA" w14:textId="77777777" w:rsidR="00000000" w:rsidRDefault="00000000">
      <w:pPr>
        <w:overflowPunct w:val="0"/>
        <w:adjustRightInd w:val="0"/>
        <w:snapToGrid w:val="0"/>
        <w:spacing w:line="600" w:lineRule="exact"/>
        <w:jc w:val="center"/>
        <w:rPr>
          <w:rFonts w:eastAsia="FangSong_GB2312" w:cs="Times New Roman"/>
          <w:kern w:val="0"/>
          <w:sz w:val="30"/>
          <w:szCs w:val="30"/>
        </w:rPr>
      </w:pPr>
    </w:p>
    <w:p w14:paraId="645B4B56" w14:textId="77777777" w:rsidR="00000000" w:rsidRDefault="00000000">
      <w:pPr>
        <w:overflowPunct w:val="0"/>
        <w:adjustRightInd w:val="0"/>
        <w:snapToGrid w:val="0"/>
        <w:spacing w:line="600" w:lineRule="exact"/>
        <w:jc w:val="center"/>
        <w:rPr>
          <w:rFonts w:eastAsia="FangSong_GB2312" w:cs="Times New Roman"/>
          <w:kern w:val="0"/>
          <w:sz w:val="30"/>
          <w:szCs w:val="30"/>
        </w:rPr>
      </w:pPr>
    </w:p>
    <w:p w14:paraId="1D660C91" w14:textId="77777777" w:rsidR="00000000" w:rsidRDefault="00000000">
      <w:pPr>
        <w:overflowPunct w:val="0"/>
        <w:adjustRightInd w:val="0"/>
        <w:snapToGrid w:val="0"/>
        <w:spacing w:line="600" w:lineRule="exact"/>
        <w:jc w:val="center"/>
        <w:rPr>
          <w:rFonts w:eastAsia="FangSong_GB2312" w:cs="Times New Roman"/>
          <w:kern w:val="0"/>
          <w:sz w:val="30"/>
          <w:szCs w:val="30"/>
        </w:rPr>
      </w:pPr>
    </w:p>
    <w:p w14:paraId="6EFCE6D9" w14:textId="77777777" w:rsidR="00000000" w:rsidRDefault="00000000">
      <w:pPr>
        <w:overflowPunct w:val="0"/>
        <w:adjustRightInd w:val="0"/>
        <w:snapToGrid w:val="0"/>
        <w:spacing w:line="600" w:lineRule="exact"/>
        <w:jc w:val="center"/>
        <w:rPr>
          <w:rFonts w:eastAsia="FangSong_GB2312" w:cs="Times New Roman"/>
          <w:kern w:val="0"/>
          <w:sz w:val="30"/>
          <w:szCs w:val="30"/>
        </w:rPr>
      </w:pPr>
    </w:p>
    <w:p w14:paraId="7730FA4E" w14:textId="77777777" w:rsidR="00000000" w:rsidRDefault="00000000">
      <w:pPr>
        <w:overflowPunct w:val="0"/>
        <w:adjustRightInd w:val="0"/>
        <w:snapToGrid w:val="0"/>
        <w:spacing w:line="600" w:lineRule="exact"/>
        <w:jc w:val="center"/>
        <w:rPr>
          <w:rFonts w:eastAsia="FangSong_GB2312" w:cs="Times New Roman"/>
          <w:kern w:val="0"/>
          <w:sz w:val="30"/>
          <w:szCs w:val="30"/>
        </w:rPr>
      </w:pPr>
    </w:p>
    <w:p w14:paraId="2CFF7CB2" w14:textId="77777777" w:rsidR="00000000" w:rsidRDefault="00000000">
      <w:pPr>
        <w:overflowPunct w:val="0"/>
        <w:adjustRightInd w:val="0"/>
        <w:snapToGrid w:val="0"/>
        <w:spacing w:line="600" w:lineRule="exact"/>
        <w:jc w:val="center"/>
        <w:rPr>
          <w:rFonts w:eastAsia="FangSong_GB2312" w:cs="Times New Roman"/>
          <w:kern w:val="0"/>
          <w:sz w:val="30"/>
          <w:szCs w:val="30"/>
        </w:rPr>
      </w:pPr>
    </w:p>
    <w:p w14:paraId="605F83F7" w14:textId="77777777" w:rsidR="00000000" w:rsidRDefault="00000000">
      <w:pPr>
        <w:overflowPunct w:val="0"/>
        <w:adjustRightInd w:val="0"/>
        <w:snapToGrid w:val="0"/>
        <w:spacing w:line="600" w:lineRule="exact"/>
        <w:jc w:val="center"/>
        <w:rPr>
          <w:rFonts w:eastAsia="FangSong_GB2312" w:cs="Times New Roman"/>
          <w:kern w:val="0"/>
          <w:sz w:val="30"/>
          <w:szCs w:val="30"/>
        </w:rPr>
      </w:pPr>
    </w:p>
    <w:p w14:paraId="4B5689A0" w14:textId="77777777" w:rsidR="00000000" w:rsidRDefault="00000000">
      <w:pPr>
        <w:overflowPunct w:val="0"/>
        <w:adjustRightInd w:val="0"/>
        <w:snapToGrid w:val="0"/>
        <w:spacing w:line="600" w:lineRule="exact"/>
        <w:jc w:val="center"/>
        <w:rPr>
          <w:rFonts w:eastAsia="FangSong_GB2312" w:cs="Times New Roman"/>
          <w:kern w:val="0"/>
          <w:sz w:val="28"/>
          <w:szCs w:val="28"/>
        </w:rPr>
      </w:pPr>
    </w:p>
    <w:p w14:paraId="51EA925F" w14:textId="77777777" w:rsidR="00000000" w:rsidRDefault="00000000">
      <w:pPr>
        <w:overflowPunct w:val="0"/>
        <w:adjustRightInd w:val="0"/>
        <w:snapToGrid w:val="0"/>
        <w:spacing w:line="600" w:lineRule="exact"/>
        <w:jc w:val="center"/>
        <w:rPr>
          <w:rFonts w:eastAsia="FangSong_GB2312" w:cs="Times New Roman"/>
          <w:kern w:val="0"/>
          <w:sz w:val="20"/>
          <w:szCs w:val="28"/>
        </w:rPr>
      </w:pPr>
    </w:p>
    <w:p w14:paraId="2EFE18C9" w14:textId="77777777" w:rsidR="00000000" w:rsidRDefault="00000000">
      <w:pPr>
        <w:overflowPunct w:val="0"/>
        <w:adjustRightInd w:val="0"/>
        <w:snapToGrid w:val="0"/>
        <w:spacing w:line="600" w:lineRule="exact"/>
        <w:jc w:val="center"/>
        <w:rPr>
          <w:rFonts w:eastAsia="FangSong_GB2312" w:cs="Times New Roman"/>
          <w:sz w:val="30"/>
          <w:szCs w:val="30"/>
        </w:rPr>
      </w:pPr>
    </w:p>
    <w:p w14:paraId="65099B6D" w14:textId="77777777" w:rsidR="00000000" w:rsidRDefault="00000000">
      <w:pPr>
        <w:overflowPunct w:val="0"/>
        <w:adjustRightInd w:val="0"/>
        <w:snapToGrid w:val="0"/>
        <w:spacing w:line="600" w:lineRule="exact"/>
        <w:jc w:val="center"/>
        <w:rPr>
          <w:rFonts w:eastAsia="FangSong_GB2312" w:cs="Times New Roman"/>
          <w:kern w:val="0"/>
          <w:sz w:val="28"/>
          <w:szCs w:val="28"/>
        </w:rPr>
      </w:pPr>
    </w:p>
    <w:p w14:paraId="3C9C9E95" w14:textId="77777777" w:rsidR="00000000" w:rsidRDefault="00000000">
      <w:pPr>
        <w:overflowPunct w:val="0"/>
        <w:adjustRightInd w:val="0"/>
        <w:snapToGrid w:val="0"/>
        <w:spacing w:line="600" w:lineRule="exact"/>
        <w:jc w:val="center"/>
        <w:rPr>
          <w:rFonts w:eastAsia="KaiTi_GB2312" w:cs="Times New Roman"/>
          <w:kern w:val="0"/>
          <w:sz w:val="32"/>
          <w:szCs w:val="32"/>
        </w:rPr>
      </w:pPr>
    </w:p>
    <w:p w14:paraId="5F7C88E0" w14:textId="77777777" w:rsidR="00000000" w:rsidRDefault="00000000">
      <w:pPr>
        <w:overflowPunct w:val="0"/>
        <w:adjustRightInd w:val="0"/>
        <w:snapToGrid w:val="0"/>
        <w:spacing w:line="600" w:lineRule="exact"/>
        <w:jc w:val="center"/>
        <w:rPr>
          <w:rFonts w:eastAsia="KaiTi_GB2312" w:cs="KaiTi_GB2312" w:hint="eastAsia"/>
          <w:kern w:val="0"/>
          <w:sz w:val="36"/>
          <w:szCs w:val="36"/>
        </w:rPr>
      </w:pPr>
    </w:p>
    <w:p w14:paraId="479BF5E8" w14:textId="77777777" w:rsidR="00000000" w:rsidRDefault="00000000">
      <w:pPr>
        <w:pStyle w:val="Footer"/>
        <w:rPr>
          <w:rFonts w:eastAsia="KaiTi_GB2312" w:cs="KaiTi_GB2312" w:hint="eastAsia"/>
          <w:kern w:val="0"/>
          <w:sz w:val="36"/>
          <w:szCs w:val="36"/>
        </w:rPr>
      </w:pPr>
    </w:p>
    <w:p w14:paraId="45359AC6" w14:textId="77777777" w:rsidR="00000000" w:rsidRDefault="00000000">
      <w:pPr>
        <w:pStyle w:val="Index5"/>
        <w:rPr>
          <w:rFonts w:eastAsia="KaiTi_GB2312" w:cs="KaiTi_GB2312" w:hint="eastAsia"/>
          <w:kern w:val="0"/>
          <w:sz w:val="36"/>
          <w:szCs w:val="36"/>
        </w:rPr>
      </w:pPr>
    </w:p>
    <w:p w14:paraId="347F816F" w14:textId="77777777" w:rsidR="00000000" w:rsidRDefault="00000000">
      <w:pPr>
        <w:rPr>
          <w:rFonts w:eastAsia="KaiTi_GB2312" w:cs="KaiTi_GB2312" w:hint="eastAsia"/>
          <w:kern w:val="0"/>
          <w:sz w:val="36"/>
          <w:szCs w:val="36"/>
        </w:rPr>
      </w:pPr>
    </w:p>
    <w:p w14:paraId="1A95618F" w14:textId="77777777" w:rsidR="00000000" w:rsidRDefault="00000000">
      <w:pPr>
        <w:pStyle w:val="Footer"/>
        <w:rPr>
          <w:rFonts w:eastAsia="KaiTi_GB2312" w:cs="KaiTi_GB2312" w:hint="eastAsia"/>
          <w:kern w:val="0"/>
          <w:sz w:val="36"/>
          <w:szCs w:val="36"/>
        </w:rPr>
      </w:pPr>
    </w:p>
    <w:p w14:paraId="6FCC6371" w14:textId="77777777" w:rsidR="00000000" w:rsidRDefault="00000000">
      <w:pPr>
        <w:overflowPunct w:val="0"/>
        <w:adjustRightInd w:val="0"/>
        <w:snapToGrid w:val="0"/>
        <w:spacing w:line="600" w:lineRule="exact"/>
        <w:jc w:val="center"/>
        <w:rPr>
          <w:rFonts w:cs="Times New Roman"/>
          <w:b/>
          <w:bCs/>
          <w:sz w:val="36"/>
          <w:szCs w:val="36"/>
        </w:rPr>
      </w:pPr>
      <w:r>
        <w:rPr>
          <w:rFonts w:eastAsia="KaiTi_GB2312" w:cs="KaiTi_GB2312" w:hint="eastAsia"/>
          <w:b/>
          <w:bCs/>
          <w:kern w:val="0"/>
          <w:sz w:val="36"/>
          <w:szCs w:val="36"/>
        </w:rPr>
        <w:t>2026</w:t>
      </w:r>
      <w:r>
        <w:rPr>
          <w:rFonts w:ascii="SimSun" w:hAnsi="SimSun" w:cs="SimSun" w:hint="eastAsia"/>
          <w:b/>
          <w:bCs/>
          <w:kern w:val="0"/>
          <w:sz w:val="36"/>
          <w:szCs w:val="36"/>
        </w:rPr>
        <w:t>年</w:t>
      </w:r>
      <w:r>
        <w:rPr>
          <w:rFonts w:eastAsia="KaiTi_GB2312" w:cs="KaiTi_GB2312" w:hint="eastAsia"/>
          <w:b/>
          <w:bCs/>
          <w:kern w:val="0"/>
          <w:sz w:val="36"/>
          <w:szCs w:val="36"/>
        </w:rPr>
        <w:t>7</w:t>
      </w:r>
      <w:r>
        <w:rPr>
          <w:rFonts w:ascii="SimSun" w:hAnsi="SimSun" w:cs="SimSun" w:hint="eastAsia"/>
          <w:b/>
          <w:bCs/>
          <w:kern w:val="0"/>
          <w:sz w:val="36"/>
          <w:szCs w:val="36"/>
        </w:rPr>
        <w:t>月</w:t>
      </w:r>
    </w:p>
    <w:p w14:paraId="0F0FE49C" w14:textId="77777777" w:rsidR="00000000" w:rsidRDefault="00000000">
      <w:pPr>
        <w:overflowPunct w:val="0"/>
        <w:adjustRightInd w:val="0"/>
        <w:snapToGrid w:val="0"/>
        <w:spacing w:line="600" w:lineRule="exact"/>
        <w:jc w:val="center"/>
        <w:rPr>
          <w:rFonts w:eastAsia="SimHei" w:cs="Times New Roman"/>
          <w:sz w:val="44"/>
          <w:szCs w:val="44"/>
        </w:rPr>
        <w:sectPr w:rsidR="00000000">
          <w:pgSz w:w="11906" w:h="16838"/>
          <w:pgMar w:top="1928" w:right="1417" w:bottom="1701" w:left="1417" w:header="0" w:footer="1247" w:gutter="0"/>
          <w:pgNumType w:start="1"/>
          <w:cols w:space="720"/>
          <w:docGrid w:type="lines" w:linePitch="420"/>
        </w:sectPr>
      </w:pPr>
    </w:p>
    <w:p w14:paraId="6FC1E034" w14:textId="77777777" w:rsidR="00000000" w:rsidRDefault="00000000">
      <w:pPr>
        <w:spacing w:line="480" w:lineRule="auto"/>
        <w:jc w:val="center"/>
        <w:rPr>
          <w:rFonts w:eastAsia="方正小标宋简体" w:cs="方正小标宋简体" w:hint="eastAsia"/>
          <w:bCs/>
          <w:sz w:val="44"/>
          <w:szCs w:val="36"/>
        </w:rPr>
      </w:pPr>
      <w:bookmarkStart w:id="3" w:name="_Toc72717949"/>
      <w:bookmarkEnd w:id="0"/>
      <w:r>
        <w:rPr>
          <w:rFonts w:eastAsia="方正小标宋简体" w:cs="方正小标宋简体" w:hint="eastAsia"/>
          <w:bCs/>
          <w:sz w:val="44"/>
          <w:szCs w:val="36"/>
          <w:lang w:bidi="ar"/>
        </w:rPr>
        <w:lastRenderedPageBreak/>
        <w:t>目</w:t>
      </w:r>
      <w:r>
        <w:rPr>
          <w:rFonts w:eastAsia="方正小标宋简体" w:cs="方正小标宋简体" w:hint="eastAsia"/>
          <w:bCs/>
          <w:sz w:val="44"/>
          <w:szCs w:val="36"/>
          <w:lang w:bidi="ar"/>
        </w:rPr>
        <w:t xml:space="preserve">   </w:t>
      </w:r>
      <w:r>
        <w:rPr>
          <w:rFonts w:eastAsia="方正小标宋简体" w:cs="方正小标宋简体" w:hint="eastAsia"/>
          <w:bCs/>
          <w:sz w:val="44"/>
          <w:szCs w:val="36"/>
          <w:lang w:bidi="ar"/>
        </w:rPr>
        <w:t>录</w:t>
      </w:r>
    </w:p>
    <w:p w14:paraId="7BC3192F" w14:textId="77777777" w:rsidR="00000000" w:rsidRDefault="00000000">
      <w:pPr>
        <w:pStyle w:val="TOC1"/>
        <w:tabs>
          <w:tab w:val="right" w:leader="dot" w:pos="8844"/>
        </w:tabs>
      </w:pPr>
      <w:r>
        <w:rPr>
          <w:rFonts w:ascii="Times New Roman" w:hAnsi="Times New Roman" w:cs="Times New Roman"/>
          <w:sz w:val="30"/>
        </w:rPr>
        <w:fldChar w:fldCharType="begin"/>
      </w:r>
      <w:r>
        <w:rPr>
          <w:rFonts w:ascii="Times New Roman" w:hAnsi="Times New Roman" w:cs="Times New Roman"/>
          <w:sz w:val="30"/>
        </w:rPr>
        <w:instrText xml:space="preserve">TOC \o "1-9" \u </w:instrText>
      </w:r>
      <w:r>
        <w:rPr>
          <w:rFonts w:ascii="Times New Roman" w:hAnsi="Times New Roman" w:cs="Times New Roman"/>
          <w:sz w:val="30"/>
        </w:rPr>
        <w:fldChar w:fldCharType="separate"/>
      </w:r>
      <w:r>
        <w:rPr>
          <w:rFonts w:ascii="Times New Roman" w:hAnsi="Times New Roman" w:cs="Times New Roman"/>
          <w:b w:val="0"/>
          <w:bCs/>
          <w:szCs w:val="32"/>
        </w:rPr>
        <w:t>第一章</w:t>
      </w:r>
      <w:r>
        <w:rPr>
          <w:rFonts w:ascii="Times New Roman" w:hAnsi="Times New Roman" w:cs="Times New Roman"/>
          <w:b w:val="0"/>
          <w:bCs/>
          <w:szCs w:val="32"/>
        </w:rPr>
        <w:t xml:space="preserve"> </w:t>
      </w:r>
      <w:r>
        <w:rPr>
          <w:rFonts w:ascii="Times New Roman" w:hAnsi="Times New Roman" w:cs="Times New Roman"/>
          <w:b w:val="0"/>
          <w:bCs/>
          <w:szCs w:val="32"/>
        </w:rPr>
        <w:t>总体要求</w:t>
      </w:r>
      <w:r>
        <w:tab/>
      </w:r>
      <w:fldSimple w:instr=" PAGEREF _Toc388840105 \h ">
        <w:r>
          <w:t>1</w:t>
        </w:r>
      </w:fldSimple>
    </w:p>
    <w:p w14:paraId="06AA084E" w14:textId="77777777" w:rsidR="00000000" w:rsidRDefault="00000000">
      <w:pPr>
        <w:pStyle w:val="TOC2"/>
        <w:tabs>
          <w:tab w:val="right" w:leader="dot" w:pos="8844"/>
        </w:tabs>
      </w:pPr>
      <w:r>
        <w:rPr>
          <w:rFonts w:ascii="Times New Roman" w:hAnsi="Times New Roman" w:cs="KaiTi_GB2312" w:hint="eastAsia"/>
          <w:szCs w:val="32"/>
        </w:rPr>
        <w:t>第一节</w:t>
      </w:r>
      <w:r>
        <w:rPr>
          <w:rFonts w:ascii="Times New Roman" w:hAnsi="Times New Roman" w:cs="KaiTi_GB2312" w:hint="eastAsia"/>
          <w:szCs w:val="32"/>
        </w:rPr>
        <w:t xml:space="preserve"> </w:t>
      </w:r>
      <w:r>
        <w:rPr>
          <w:rFonts w:ascii="Times New Roman" w:hAnsi="Times New Roman" w:cs="KaiTi_GB2312" w:hint="eastAsia"/>
          <w:szCs w:val="32"/>
        </w:rPr>
        <w:t>发展基础</w:t>
      </w:r>
      <w:r>
        <w:tab/>
      </w:r>
      <w:fldSimple w:instr=" PAGEREF _Toc561695459 \h ">
        <w:r>
          <w:t>1</w:t>
        </w:r>
      </w:fldSimple>
    </w:p>
    <w:p w14:paraId="440D3EED" w14:textId="77777777" w:rsidR="00000000" w:rsidRDefault="00000000">
      <w:pPr>
        <w:pStyle w:val="TOC2"/>
        <w:tabs>
          <w:tab w:val="right" w:leader="dot" w:pos="8844"/>
        </w:tabs>
      </w:pPr>
      <w:r>
        <w:rPr>
          <w:rFonts w:ascii="Times New Roman" w:hAnsi="Times New Roman" w:cs="KaiTi_GB2312" w:hint="eastAsia"/>
          <w:szCs w:val="32"/>
        </w:rPr>
        <w:t>第二节</w:t>
      </w:r>
      <w:r>
        <w:rPr>
          <w:rFonts w:ascii="Times New Roman" w:hAnsi="Times New Roman" w:cs="KaiTi_GB2312" w:hint="eastAsia"/>
          <w:szCs w:val="32"/>
        </w:rPr>
        <w:t xml:space="preserve"> </w:t>
      </w:r>
      <w:r>
        <w:rPr>
          <w:rFonts w:ascii="Times New Roman" w:hAnsi="Times New Roman" w:cs="KaiTi_GB2312" w:hint="eastAsia"/>
          <w:szCs w:val="32"/>
        </w:rPr>
        <w:t>指导思想</w:t>
      </w:r>
      <w:r>
        <w:tab/>
      </w:r>
      <w:fldSimple w:instr=" PAGEREF _Toc2140282402 \h ">
        <w:r>
          <w:t>2</w:t>
        </w:r>
      </w:fldSimple>
    </w:p>
    <w:p w14:paraId="4B33D27A" w14:textId="77777777" w:rsidR="00000000" w:rsidRDefault="00000000">
      <w:pPr>
        <w:pStyle w:val="TOC2"/>
        <w:tabs>
          <w:tab w:val="right" w:leader="dot" w:pos="8844"/>
        </w:tabs>
      </w:pPr>
      <w:r>
        <w:rPr>
          <w:rFonts w:ascii="Times New Roman" w:hAnsi="Times New Roman" w:cs="KaiTi_GB2312" w:hint="eastAsia"/>
          <w:szCs w:val="32"/>
        </w:rPr>
        <w:t>第三节</w:t>
      </w:r>
      <w:r>
        <w:rPr>
          <w:rFonts w:ascii="Times New Roman" w:hAnsi="Times New Roman" w:cs="KaiTi_GB2312" w:hint="eastAsia"/>
          <w:szCs w:val="32"/>
        </w:rPr>
        <w:t xml:space="preserve"> </w:t>
      </w:r>
      <w:r>
        <w:rPr>
          <w:rFonts w:ascii="Times New Roman" w:hAnsi="Times New Roman" w:cs="KaiTi_GB2312" w:hint="eastAsia"/>
          <w:szCs w:val="32"/>
        </w:rPr>
        <w:t>基本原则</w:t>
      </w:r>
      <w:r>
        <w:tab/>
      </w:r>
      <w:fldSimple w:instr=" PAGEREF _Toc2058172522 \h ">
        <w:r>
          <w:t>3</w:t>
        </w:r>
      </w:fldSimple>
    </w:p>
    <w:p w14:paraId="1E1E7DFF" w14:textId="77777777" w:rsidR="00000000" w:rsidRDefault="00000000">
      <w:pPr>
        <w:pStyle w:val="TOC2"/>
        <w:tabs>
          <w:tab w:val="right" w:leader="dot" w:pos="8844"/>
        </w:tabs>
      </w:pPr>
      <w:r>
        <w:rPr>
          <w:rFonts w:ascii="Times New Roman" w:hAnsi="Times New Roman" w:cs="KaiTi_GB2312" w:hint="eastAsia"/>
          <w:szCs w:val="32"/>
        </w:rPr>
        <w:t>第四节</w:t>
      </w:r>
      <w:r>
        <w:rPr>
          <w:rFonts w:ascii="Times New Roman" w:hAnsi="Times New Roman" w:cs="KaiTi_GB2312" w:hint="eastAsia"/>
          <w:szCs w:val="32"/>
        </w:rPr>
        <w:t xml:space="preserve"> </w:t>
      </w:r>
      <w:r>
        <w:rPr>
          <w:rFonts w:ascii="Times New Roman" w:hAnsi="Times New Roman" w:cs="KaiTi_GB2312" w:hint="eastAsia"/>
          <w:szCs w:val="32"/>
        </w:rPr>
        <w:t>发展目标</w:t>
      </w:r>
      <w:r>
        <w:tab/>
      </w:r>
      <w:fldSimple w:instr=" PAGEREF _Toc783986235 \h ">
        <w:r>
          <w:t>4</w:t>
        </w:r>
      </w:fldSimple>
    </w:p>
    <w:p w14:paraId="12D453CA" w14:textId="77777777" w:rsidR="00000000" w:rsidRDefault="00000000">
      <w:pPr>
        <w:pStyle w:val="TOC1"/>
        <w:tabs>
          <w:tab w:val="right" w:leader="dot" w:pos="8844"/>
        </w:tabs>
      </w:pPr>
      <w:r>
        <w:rPr>
          <w:rFonts w:ascii="Times New Roman" w:hAnsi="Times New Roman" w:cs="Times New Roman"/>
          <w:b w:val="0"/>
          <w:bCs/>
          <w:szCs w:val="32"/>
        </w:rPr>
        <w:t>第二章</w:t>
      </w:r>
      <w:r>
        <w:rPr>
          <w:rFonts w:ascii="Times New Roman" w:hAnsi="Times New Roman" w:cs="Times New Roman"/>
          <w:b w:val="0"/>
          <w:bCs/>
          <w:szCs w:val="32"/>
        </w:rPr>
        <w:t xml:space="preserve"> </w:t>
      </w:r>
      <w:r>
        <w:rPr>
          <w:rFonts w:ascii="Times New Roman" w:hAnsi="Times New Roman" w:cs="Times New Roman"/>
          <w:b w:val="0"/>
          <w:bCs/>
          <w:szCs w:val="32"/>
        </w:rPr>
        <w:t>完善交通基础设施布局</w:t>
      </w:r>
      <w:r>
        <w:tab/>
      </w:r>
      <w:fldSimple w:instr=" PAGEREF _Toc179156732 \h ">
        <w:r>
          <w:t>6</w:t>
        </w:r>
      </w:fldSimple>
    </w:p>
    <w:p w14:paraId="769F300A" w14:textId="77777777" w:rsidR="00000000" w:rsidRDefault="00000000">
      <w:pPr>
        <w:pStyle w:val="TOC2"/>
        <w:tabs>
          <w:tab w:val="right" w:leader="dot" w:pos="8844"/>
        </w:tabs>
      </w:pPr>
      <w:r>
        <w:rPr>
          <w:rFonts w:ascii="Times New Roman" w:hAnsi="Times New Roman" w:cs="KaiTi_GB2312" w:hint="eastAsia"/>
          <w:szCs w:val="32"/>
        </w:rPr>
        <w:t>第一节</w:t>
      </w:r>
      <w:r>
        <w:rPr>
          <w:rFonts w:ascii="Times New Roman" w:hAnsi="Times New Roman" w:cs="KaiTi_GB2312" w:hint="eastAsia"/>
          <w:szCs w:val="32"/>
        </w:rPr>
        <w:t xml:space="preserve"> </w:t>
      </w:r>
      <w:r>
        <w:rPr>
          <w:rFonts w:ascii="Times New Roman" w:hAnsi="Times New Roman" w:cs="KaiTi_GB2312" w:hint="eastAsia"/>
          <w:szCs w:val="32"/>
        </w:rPr>
        <w:t>构建综合立体交通主骨架</w:t>
      </w:r>
      <w:r>
        <w:tab/>
      </w:r>
      <w:fldSimple w:instr=" PAGEREF _Toc1264590714 \h ">
        <w:r>
          <w:t>6</w:t>
        </w:r>
      </w:fldSimple>
    </w:p>
    <w:p w14:paraId="5402F0A9" w14:textId="77777777" w:rsidR="00000000" w:rsidRDefault="00000000">
      <w:pPr>
        <w:pStyle w:val="TOC2"/>
        <w:tabs>
          <w:tab w:val="right" w:leader="dot" w:pos="8844"/>
        </w:tabs>
      </w:pPr>
      <w:r>
        <w:rPr>
          <w:rFonts w:ascii="Times New Roman" w:hAnsi="Times New Roman" w:cs="KaiTi_GB2312" w:hint="eastAsia"/>
          <w:szCs w:val="32"/>
        </w:rPr>
        <w:t>第二节</w:t>
      </w:r>
      <w:r>
        <w:rPr>
          <w:rFonts w:ascii="Times New Roman" w:hAnsi="Times New Roman" w:cs="KaiTi_GB2312" w:hint="eastAsia"/>
          <w:szCs w:val="32"/>
        </w:rPr>
        <w:t xml:space="preserve"> </w:t>
      </w:r>
      <w:r>
        <w:rPr>
          <w:rFonts w:ascii="Times New Roman" w:hAnsi="Times New Roman" w:cs="KaiTi_GB2312" w:hint="eastAsia"/>
          <w:szCs w:val="32"/>
        </w:rPr>
        <w:t>打造自由贸易港交通枢纽体系</w:t>
      </w:r>
      <w:r>
        <w:tab/>
      </w:r>
      <w:fldSimple w:instr=" PAGEREF _Toc146172692 \h ">
        <w:r>
          <w:t>10</w:t>
        </w:r>
      </w:fldSimple>
    </w:p>
    <w:p w14:paraId="0FD75525" w14:textId="77777777" w:rsidR="00000000" w:rsidRDefault="00000000">
      <w:pPr>
        <w:pStyle w:val="TOC2"/>
        <w:tabs>
          <w:tab w:val="right" w:leader="dot" w:pos="8844"/>
        </w:tabs>
      </w:pPr>
      <w:r>
        <w:rPr>
          <w:rFonts w:ascii="Times New Roman" w:hAnsi="Times New Roman" w:cs="KaiTi_GB2312" w:hint="eastAsia"/>
          <w:szCs w:val="32"/>
        </w:rPr>
        <w:t>第三节</w:t>
      </w:r>
      <w:r>
        <w:rPr>
          <w:rFonts w:ascii="Times New Roman" w:hAnsi="Times New Roman" w:cs="KaiTi_GB2312" w:hint="eastAsia"/>
          <w:szCs w:val="32"/>
        </w:rPr>
        <w:t xml:space="preserve"> </w:t>
      </w:r>
      <w:r>
        <w:rPr>
          <w:rFonts w:ascii="Times New Roman" w:hAnsi="Times New Roman" w:cs="KaiTi_GB2312" w:hint="eastAsia"/>
          <w:szCs w:val="32"/>
        </w:rPr>
        <w:t>构筑对外综合大通道</w:t>
      </w:r>
      <w:r>
        <w:tab/>
      </w:r>
      <w:fldSimple w:instr=" PAGEREF _Toc1140607744 \h ">
        <w:r>
          <w:t>14</w:t>
        </w:r>
      </w:fldSimple>
    </w:p>
    <w:p w14:paraId="52EA266F" w14:textId="77777777" w:rsidR="00000000" w:rsidRDefault="00000000">
      <w:pPr>
        <w:pStyle w:val="TOC2"/>
        <w:tabs>
          <w:tab w:val="right" w:leader="dot" w:pos="8844"/>
        </w:tabs>
      </w:pPr>
      <w:r>
        <w:rPr>
          <w:rFonts w:ascii="KaiTi_GB2312" w:hAnsi="KaiTi_GB2312" w:cs="KaiTi_GB2312" w:hint="eastAsia"/>
          <w:szCs w:val="32"/>
        </w:rPr>
        <w:t>第四节 构建现代化综合立体交通网络</w:t>
      </w:r>
      <w:r>
        <w:tab/>
      </w:r>
      <w:fldSimple w:instr=" PAGEREF _Toc318783846 \h ">
        <w:r>
          <w:t>15</w:t>
        </w:r>
      </w:fldSimple>
    </w:p>
    <w:p w14:paraId="7BD160CA" w14:textId="77777777" w:rsidR="00000000" w:rsidRDefault="00000000">
      <w:pPr>
        <w:pStyle w:val="TOC1"/>
        <w:tabs>
          <w:tab w:val="right" w:leader="dot" w:pos="8844"/>
        </w:tabs>
      </w:pPr>
      <w:r>
        <w:rPr>
          <w:rFonts w:ascii="Times New Roman" w:hAnsi="Times New Roman" w:cs="Times New Roman"/>
          <w:b w:val="0"/>
          <w:bCs/>
          <w:szCs w:val="32"/>
        </w:rPr>
        <w:t>第三章</w:t>
      </w:r>
      <w:r>
        <w:rPr>
          <w:rFonts w:ascii="Times New Roman" w:hAnsi="Times New Roman" w:cs="Times New Roman"/>
          <w:b w:val="0"/>
          <w:bCs/>
          <w:szCs w:val="32"/>
        </w:rPr>
        <w:t xml:space="preserve"> </w:t>
      </w:r>
      <w:r>
        <w:rPr>
          <w:rFonts w:ascii="Times New Roman" w:hAnsi="Times New Roman" w:cs="Times New Roman"/>
          <w:b w:val="0"/>
          <w:bCs/>
          <w:szCs w:val="32"/>
        </w:rPr>
        <w:t>提升自由便利运输服务能级</w:t>
      </w:r>
      <w:r>
        <w:tab/>
      </w:r>
      <w:fldSimple w:instr=" PAGEREF _Toc1501445679 \h ">
        <w:r>
          <w:t>22</w:t>
        </w:r>
      </w:fldSimple>
    </w:p>
    <w:p w14:paraId="2A7B17E0" w14:textId="77777777" w:rsidR="00000000" w:rsidRDefault="00000000">
      <w:pPr>
        <w:pStyle w:val="TOC2"/>
        <w:tabs>
          <w:tab w:val="right" w:leader="dot" w:pos="8844"/>
        </w:tabs>
      </w:pPr>
      <w:r>
        <w:rPr>
          <w:rFonts w:ascii="Times New Roman" w:hAnsi="Times New Roman" w:cs="KaiTi_GB2312" w:hint="eastAsia"/>
          <w:szCs w:val="32"/>
        </w:rPr>
        <w:t>第一节</w:t>
      </w:r>
      <w:r>
        <w:rPr>
          <w:rFonts w:ascii="Times New Roman" w:hAnsi="Times New Roman" w:cs="KaiTi_GB2312" w:hint="eastAsia"/>
          <w:szCs w:val="32"/>
        </w:rPr>
        <w:t xml:space="preserve"> </w:t>
      </w:r>
      <w:r>
        <w:rPr>
          <w:rFonts w:ascii="Times New Roman" w:hAnsi="Times New Roman" w:cs="KaiTi_GB2312" w:hint="eastAsia"/>
          <w:szCs w:val="32"/>
        </w:rPr>
        <w:t>健全全岛同城化运输体系</w:t>
      </w:r>
      <w:r>
        <w:tab/>
      </w:r>
      <w:fldSimple w:instr=" PAGEREF _Toc508179091 \h ">
        <w:r>
          <w:t>22</w:t>
        </w:r>
      </w:fldSimple>
    </w:p>
    <w:p w14:paraId="4F4FB4D4" w14:textId="77777777" w:rsidR="00000000" w:rsidRDefault="00000000">
      <w:pPr>
        <w:pStyle w:val="TOC2"/>
        <w:tabs>
          <w:tab w:val="right" w:leader="dot" w:pos="8844"/>
        </w:tabs>
      </w:pPr>
      <w:r>
        <w:rPr>
          <w:rFonts w:ascii="Times New Roman" w:hAnsi="Times New Roman" w:cs="KaiTi_GB2312" w:hint="eastAsia"/>
          <w:szCs w:val="32"/>
        </w:rPr>
        <w:t>第二节</w:t>
      </w:r>
      <w:r>
        <w:rPr>
          <w:rFonts w:ascii="Times New Roman" w:hAnsi="Times New Roman" w:cs="KaiTi_GB2312" w:hint="eastAsia"/>
          <w:szCs w:val="32"/>
        </w:rPr>
        <w:t xml:space="preserve"> </w:t>
      </w:r>
      <w:r>
        <w:rPr>
          <w:rFonts w:ascii="Times New Roman" w:hAnsi="Times New Roman" w:cs="KaiTi_GB2312" w:hint="eastAsia"/>
          <w:szCs w:val="32"/>
        </w:rPr>
        <w:t>建设现代化物流设施网络</w:t>
      </w:r>
      <w:r>
        <w:tab/>
      </w:r>
      <w:fldSimple w:instr=" PAGEREF _Toc974980613 \h ">
        <w:r>
          <w:t>23</w:t>
        </w:r>
      </w:fldSimple>
    </w:p>
    <w:p w14:paraId="3FD91BA8" w14:textId="77777777" w:rsidR="00000000" w:rsidRDefault="00000000">
      <w:pPr>
        <w:pStyle w:val="TOC2"/>
        <w:tabs>
          <w:tab w:val="right" w:leader="dot" w:pos="8844"/>
        </w:tabs>
      </w:pPr>
      <w:r>
        <w:rPr>
          <w:rFonts w:ascii="Times New Roman" w:hAnsi="Times New Roman" w:cs="KaiTi_GB2312" w:hint="eastAsia"/>
          <w:szCs w:val="32"/>
        </w:rPr>
        <w:t>第三节</w:t>
      </w:r>
      <w:r>
        <w:rPr>
          <w:rFonts w:ascii="Times New Roman" w:hAnsi="Times New Roman" w:cs="KaiTi_GB2312" w:hint="eastAsia"/>
          <w:szCs w:val="32"/>
        </w:rPr>
        <w:t xml:space="preserve"> </w:t>
      </w:r>
      <w:r>
        <w:rPr>
          <w:rFonts w:ascii="Times New Roman" w:hAnsi="Times New Roman" w:cs="KaiTi_GB2312" w:hint="eastAsia"/>
          <w:szCs w:val="32"/>
        </w:rPr>
        <w:t>提升口岸交通基础设施支撑能力</w:t>
      </w:r>
      <w:r>
        <w:tab/>
      </w:r>
      <w:fldSimple w:instr=" PAGEREF _Toc273634580 \h ">
        <w:r>
          <w:t>24</w:t>
        </w:r>
      </w:fldSimple>
    </w:p>
    <w:p w14:paraId="0706D26D" w14:textId="77777777" w:rsidR="00000000" w:rsidRDefault="00000000">
      <w:pPr>
        <w:pStyle w:val="TOC1"/>
        <w:tabs>
          <w:tab w:val="right" w:leader="dot" w:pos="8844"/>
        </w:tabs>
      </w:pPr>
      <w:r>
        <w:rPr>
          <w:rFonts w:ascii="Times New Roman" w:hAnsi="Times New Roman" w:cs="Times New Roman"/>
          <w:b w:val="0"/>
          <w:bCs/>
          <w:szCs w:val="32"/>
        </w:rPr>
        <w:t>第四章</w:t>
      </w:r>
      <w:r>
        <w:rPr>
          <w:rFonts w:ascii="Times New Roman" w:hAnsi="Times New Roman" w:cs="Times New Roman"/>
          <w:b w:val="0"/>
          <w:bCs/>
          <w:szCs w:val="32"/>
        </w:rPr>
        <w:t xml:space="preserve"> </w:t>
      </w:r>
      <w:r>
        <w:rPr>
          <w:rFonts w:ascii="Times New Roman" w:hAnsi="Times New Roman" w:cs="Times New Roman"/>
          <w:b w:val="0"/>
          <w:bCs/>
          <w:szCs w:val="32"/>
        </w:rPr>
        <w:t>增强交通运输综合效益</w:t>
      </w:r>
      <w:r>
        <w:tab/>
      </w:r>
      <w:fldSimple w:instr=" PAGEREF _Toc1435557495 \h ">
        <w:r>
          <w:t>25</w:t>
        </w:r>
      </w:fldSimple>
    </w:p>
    <w:p w14:paraId="2BC363A2" w14:textId="77777777" w:rsidR="00000000" w:rsidRDefault="00000000">
      <w:pPr>
        <w:pStyle w:val="TOC2"/>
        <w:tabs>
          <w:tab w:val="right" w:leader="dot" w:pos="8844"/>
        </w:tabs>
      </w:pPr>
      <w:r>
        <w:rPr>
          <w:rFonts w:ascii="Times New Roman" w:hAnsi="Times New Roman" w:cs="KaiTi_GB2312" w:hint="eastAsia"/>
          <w:szCs w:val="32"/>
        </w:rPr>
        <w:t>第一节</w:t>
      </w:r>
      <w:r>
        <w:rPr>
          <w:rFonts w:ascii="Times New Roman" w:hAnsi="Times New Roman" w:cs="KaiTi_GB2312" w:hint="eastAsia"/>
          <w:szCs w:val="32"/>
        </w:rPr>
        <w:t xml:space="preserve"> </w:t>
      </w:r>
      <w:r>
        <w:rPr>
          <w:rFonts w:ascii="Times New Roman" w:hAnsi="Times New Roman" w:cs="KaiTi_GB2312" w:hint="eastAsia"/>
          <w:szCs w:val="32"/>
        </w:rPr>
        <w:t>推动交通运输数智化升级</w:t>
      </w:r>
      <w:r>
        <w:tab/>
      </w:r>
      <w:fldSimple w:instr=" PAGEREF _Toc136353669 \h ">
        <w:r>
          <w:t>25</w:t>
        </w:r>
      </w:fldSimple>
    </w:p>
    <w:p w14:paraId="01D214FF" w14:textId="77777777" w:rsidR="00000000" w:rsidRDefault="00000000">
      <w:pPr>
        <w:pStyle w:val="TOC2"/>
        <w:tabs>
          <w:tab w:val="right" w:leader="dot" w:pos="8844"/>
        </w:tabs>
      </w:pPr>
      <w:r>
        <w:rPr>
          <w:rFonts w:ascii="Times New Roman" w:hAnsi="Times New Roman" w:cs="KaiTi_GB2312" w:hint="eastAsia"/>
          <w:szCs w:val="32"/>
        </w:rPr>
        <w:t>第二节</w:t>
      </w:r>
      <w:r>
        <w:rPr>
          <w:rFonts w:ascii="Times New Roman" w:hAnsi="Times New Roman" w:cs="KaiTi_GB2312" w:hint="eastAsia"/>
          <w:szCs w:val="32"/>
        </w:rPr>
        <w:t xml:space="preserve"> </w:t>
      </w:r>
      <w:r>
        <w:rPr>
          <w:rFonts w:ascii="Times New Roman" w:hAnsi="Times New Roman" w:cs="KaiTi_GB2312" w:hint="eastAsia"/>
          <w:szCs w:val="32"/>
        </w:rPr>
        <w:t>推动绿色低碳转型发展</w:t>
      </w:r>
      <w:r>
        <w:tab/>
      </w:r>
      <w:fldSimple w:instr=" PAGEREF _Toc1332133527 \h ">
        <w:r>
          <w:t>26</w:t>
        </w:r>
      </w:fldSimple>
    </w:p>
    <w:p w14:paraId="737C37A0" w14:textId="77777777" w:rsidR="00000000" w:rsidRDefault="00000000">
      <w:pPr>
        <w:pStyle w:val="TOC2"/>
        <w:tabs>
          <w:tab w:val="right" w:leader="dot" w:pos="8844"/>
        </w:tabs>
      </w:pPr>
      <w:r>
        <w:rPr>
          <w:rFonts w:ascii="Times New Roman" w:hAnsi="Times New Roman" w:cs="KaiTi_GB2312" w:hint="eastAsia"/>
          <w:szCs w:val="32"/>
        </w:rPr>
        <w:t>第三节</w:t>
      </w:r>
      <w:r>
        <w:rPr>
          <w:rFonts w:ascii="Times New Roman" w:hAnsi="Times New Roman" w:cs="KaiTi_GB2312" w:hint="eastAsia"/>
          <w:szCs w:val="32"/>
        </w:rPr>
        <w:t xml:space="preserve"> </w:t>
      </w:r>
      <w:r>
        <w:rPr>
          <w:rFonts w:ascii="Times New Roman" w:hAnsi="Times New Roman" w:cs="KaiTi_GB2312" w:hint="eastAsia"/>
          <w:szCs w:val="32"/>
        </w:rPr>
        <w:t>提高安全应急保障能力</w:t>
      </w:r>
      <w:r>
        <w:tab/>
      </w:r>
      <w:fldSimple w:instr=" PAGEREF _Toc1150984030 \h ">
        <w:r>
          <w:t>27</w:t>
        </w:r>
      </w:fldSimple>
    </w:p>
    <w:p w14:paraId="7F6EEFC8" w14:textId="77777777" w:rsidR="00000000" w:rsidRDefault="00000000">
      <w:pPr>
        <w:pStyle w:val="TOC2"/>
        <w:tabs>
          <w:tab w:val="right" w:leader="dot" w:pos="8844"/>
        </w:tabs>
      </w:pPr>
      <w:r>
        <w:rPr>
          <w:rFonts w:ascii="Times New Roman" w:hAnsi="Times New Roman" w:cs="KaiTi_GB2312" w:hint="eastAsia"/>
          <w:szCs w:val="32"/>
        </w:rPr>
        <w:t>第四节</w:t>
      </w:r>
      <w:r>
        <w:rPr>
          <w:rFonts w:ascii="Times New Roman" w:hAnsi="Times New Roman" w:cs="KaiTi_GB2312" w:hint="eastAsia"/>
          <w:szCs w:val="32"/>
        </w:rPr>
        <w:t xml:space="preserve"> </w:t>
      </w:r>
      <w:r>
        <w:rPr>
          <w:rFonts w:ascii="Times New Roman" w:hAnsi="Times New Roman" w:cs="KaiTi_GB2312" w:hint="eastAsia"/>
          <w:szCs w:val="32"/>
        </w:rPr>
        <w:t>培育壮大及服务支撑产业发展</w:t>
      </w:r>
      <w:r>
        <w:tab/>
      </w:r>
      <w:fldSimple w:instr=" PAGEREF _Toc1152096457 \h ">
        <w:r>
          <w:t>28</w:t>
        </w:r>
      </w:fldSimple>
    </w:p>
    <w:p w14:paraId="5DF1C9C2" w14:textId="77777777" w:rsidR="00000000" w:rsidRDefault="00000000">
      <w:pPr>
        <w:pStyle w:val="TOC1"/>
        <w:tabs>
          <w:tab w:val="right" w:leader="dot" w:pos="8844"/>
        </w:tabs>
      </w:pPr>
      <w:r>
        <w:rPr>
          <w:rFonts w:ascii="Times New Roman" w:hAnsi="Times New Roman" w:cs="Times New Roman"/>
          <w:b w:val="0"/>
          <w:bCs/>
          <w:szCs w:val="32"/>
        </w:rPr>
        <w:lastRenderedPageBreak/>
        <w:t>第五章</w:t>
      </w:r>
      <w:r>
        <w:rPr>
          <w:rFonts w:ascii="Times New Roman" w:hAnsi="Times New Roman" w:cs="Times New Roman"/>
          <w:b w:val="0"/>
          <w:bCs/>
          <w:szCs w:val="32"/>
        </w:rPr>
        <w:t xml:space="preserve"> </w:t>
      </w:r>
      <w:r>
        <w:rPr>
          <w:rFonts w:ascii="Times New Roman" w:hAnsi="Times New Roman" w:cs="Times New Roman"/>
          <w:b w:val="0"/>
          <w:bCs/>
          <w:szCs w:val="32"/>
        </w:rPr>
        <w:t>深化交通运输体制机制改革</w:t>
      </w:r>
      <w:r>
        <w:tab/>
      </w:r>
      <w:fldSimple w:instr=" PAGEREF _Toc440787023 \h ">
        <w:r>
          <w:t>30</w:t>
        </w:r>
      </w:fldSimple>
    </w:p>
    <w:p w14:paraId="1FD60C4B" w14:textId="77777777" w:rsidR="00000000" w:rsidRDefault="00000000">
      <w:pPr>
        <w:pStyle w:val="TOC2"/>
        <w:tabs>
          <w:tab w:val="right" w:leader="dot" w:pos="8844"/>
        </w:tabs>
      </w:pPr>
      <w:r>
        <w:rPr>
          <w:rFonts w:ascii="Times New Roman" w:hAnsi="Times New Roman" w:cs="KaiTi_GB2312" w:hint="eastAsia"/>
          <w:szCs w:val="32"/>
        </w:rPr>
        <w:t>第一节</w:t>
      </w:r>
      <w:r>
        <w:rPr>
          <w:rFonts w:ascii="Times New Roman" w:hAnsi="Times New Roman" w:cs="KaiTi_GB2312" w:hint="eastAsia"/>
          <w:szCs w:val="32"/>
        </w:rPr>
        <w:t xml:space="preserve"> </w:t>
      </w:r>
      <w:r>
        <w:rPr>
          <w:rFonts w:ascii="Times New Roman" w:hAnsi="Times New Roman" w:cs="KaiTi_GB2312" w:hint="eastAsia"/>
          <w:szCs w:val="32"/>
        </w:rPr>
        <w:t>深化重点领域改革</w:t>
      </w:r>
      <w:r>
        <w:tab/>
      </w:r>
      <w:fldSimple w:instr=" PAGEREF _Toc1680423751 \h ">
        <w:r>
          <w:t>30</w:t>
        </w:r>
      </w:fldSimple>
    </w:p>
    <w:p w14:paraId="71A2538A" w14:textId="77777777" w:rsidR="00000000" w:rsidRDefault="00000000">
      <w:pPr>
        <w:pStyle w:val="TOC2"/>
        <w:tabs>
          <w:tab w:val="right" w:leader="dot" w:pos="8844"/>
        </w:tabs>
      </w:pPr>
      <w:r>
        <w:rPr>
          <w:rFonts w:ascii="Times New Roman" w:hAnsi="Times New Roman" w:cs="KaiTi_GB2312" w:hint="eastAsia"/>
          <w:szCs w:val="32"/>
        </w:rPr>
        <w:t>第二节</w:t>
      </w:r>
      <w:r>
        <w:rPr>
          <w:rFonts w:ascii="Times New Roman" w:hAnsi="Times New Roman" w:cs="KaiTi_GB2312" w:hint="eastAsia"/>
          <w:szCs w:val="32"/>
        </w:rPr>
        <w:t xml:space="preserve"> </w:t>
      </w:r>
      <w:r>
        <w:rPr>
          <w:rFonts w:ascii="Times New Roman" w:hAnsi="Times New Roman" w:cs="KaiTi_GB2312" w:hint="eastAsia"/>
          <w:szCs w:val="32"/>
        </w:rPr>
        <w:t>创新投融资体制机制</w:t>
      </w:r>
      <w:r>
        <w:tab/>
      </w:r>
      <w:fldSimple w:instr=" PAGEREF _Toc1908536176 \h ">
        <w:r>
          <w:t>31</w:t>
        </w:r>
      </w:fldSimple>
    </w:p>
    <w:p w14:paraId="7B6BBB1B" w14:textId="77777777" w:rsidR="00000000" w:rsidRDefault="00000000">
      <w:pPr>
        <w:pStyle w:val="TOC2"/>
        <w:tabs>
          <w:tab w:val="right" w:leader="dot" w:pos="8844"/>
        </w:tabs>
      </w:pPr>
      <w:r>
        <w:rPr>
          <w:rFonts w:ascii="Times New Roman" w:hAnsi="Times New Roman" w:cs="KaiTi_GB2312" w:hint="eastAsia"/>
          <w:szCs w:val="32"/>
        </w:rPr>
        <w:t>第三节</w:t>
      </w:r>
      <w:r>
        <w:rPr>
          <w:rFonts w:ascii="Times New Roman" w:hAnsi="Times New Roman" w:cs="KaiTi_GB2312" w:hint="eastAsia"/>
          <w:szCs w:val="32"/>
        </w:rPr>
        <w:t xml:space="preserve"> </w:t>
      </w:r>
      <w:r>
        <w:rPr>
          <w:rFonts w:ascii="Times New Roman" w:hAnsi="Times New Roman" w:cs="KaiTi_GB2312" w:hint="eastAsia"/>
          <w:szCs w:val="32"/>
        </w:rPr>
        <w:t>建设统一开放大市场</w:t>
      </w:r>
      <w:r>
        <w:tab/>
      </w:r>
      <w:fldSimple w:instr=" PAGEREF _Toc1217338020 \h ">
        <w:r>
          <w:t>32</w:t>
        </w:r>
      </w:fldSimple>
    </w:p>
    <w:p w14:paraId="6EF60340" w14:textId="77777777" w:rsidR="00000000" w:rsidRDefault="00000000">
      <w:pPr>
        <w:pStyle w:val="TOC1"/>
        <w:tabs>
          <w:tab w:val="right" w:leader="dot" w:pos="8844"/>
        </w:tabs>
      </w:pPr>
      <w:r>
        <w:rPr>
          <w:rFonts w:ascii="Times New Roman" w:hAnsi="Times New Roman" w:cs="Times New Roman"/>
          <w:b w:val="0"/>
          <w:bCs/>
          <w:szCs w:val="32"/>
        </w:rPr>
        <w:t>第六章</w:t>
      </w:r>
      <w:r>
        <w:rPr>
          <w:rFonts w:ascii="Times New Roman" w:hAnsi="Times New Roman" w:cs="Times New Roman"/>
          <w:b w:val="0"/>
          <w:bCs/>
          <w:szCs w:val="32"/>
        </w:rPr>
        <w:t xml:space="preserve"> </w:t>
      </w:r>
      <w:r>
        <w:rPr>
          <w:rFonts w:ascii="Times New Roman" w:hAnsi="Times New Roman" w:cs="Times New Roman"/>
          <w:b w:val="0"/>
          <w:bCs/>
          <w:szCs w:val="32"/>
        </w:rPr>
        <w:t>环境影响评价</w:t>
      </w:r>
      <w:r>
        <w:tab/>
      </w:r>
      <w:fldSimple w:instr=" PAGEREF _Toc1662207199 \h ">
        <w:r>
          <w:t>33</w:t>
        </w:r>
      </w:fldSimple>
    </w:p>
    <w:p w14:paraId="6EE7A59C" w14:textId="77777777" w:rsidR="00000000" w:rsidRDefault="00000000">
      <w:pPr>
        <w:pStyle w:val="TOC2"/>
        <w:tabs>
          <w:tab w:val="right" w:leader="dot" w:pos="8844"/>
        </w:tabs>
      </w:pPr>
      <w:r>
        <w:rPr>
          <w:rFonts w:ascii="Times New Roman" w:hAnsi="Times New Roman" w:cs="KaiTi_GB2312" w:hint="eastAsia"/>
          <w:szCs w:val="32"/>
        </w:rPr>
        <w:t>第一节</w:t>
      </w:r>
      <w:r>
        <w:rPr>
          <w:rFonts w:ascii="Times New Roman" w:hAnsi="Times New Roman" w:cs="KaiTi_GB2312" w:hint="eastAsia"/>
          <w:szCs w:val="32"/>
        </w:rPr>
        <w:t xml:space="preserve"> </w:t>
      </w:r>
      <w:r>
        <w:rPr>
          <w:rFonts w:ascii="Times New Roman" w:hAnsi="Times New Roman" w:cs="KaiTi_GB2312" w:hint="eastAsia"/>
          <w:szCs w:val="32"/>
        </w:rPr>
        <w:t>环境影响分析</w:t>
      </w:r>
      <w:r>
        <w:tab/>
      </w:r>
      <w:fldSimple w:instr=" PAGEREF _Toc2125957670 \h ">
        <w:r>
          <w:t>33</w:t>
        </w:r>
      </w:fldSimple>
    </w:p>
    <w:p w14:paraId="47C93926" w14:textId="77777777" w:rsidR="00000000" w:rsidRDefault="00000000">
      <w:pPr>
        <w:pStyle w:val="TOC2"/>
        <w:tabs>
          <w:tab w:val="right" w:leader="dot" w:pos="8844"/>
        </w:tabs>
      </w:pPr>
      <w:r>
        <w:rPr>
          <w:rFonts w:ascii="Times New Roman" w:hAnsi="Times New Roman" w:cs="KaiTi_GB2312" w:hint="eastAsia"/>
          <w:szCs w:val="32"/>
        </w:rPr>
        <w:t>第二节</w:t>
      </w:r>
      <w:r>
        <w:rPr>
          <w:rFonts w:ascii="Times New Roman" w:hAnsi="Times New Roman" w:cs="KaiTi_GB2312" w:hint="eastAsia"/>
          <w:szCs w:val="32"/>
        </w:rPr>
        <w:t xml:space="preserve"> </w:t>
      </w:r>
      <w:r>
        <w:rPr>
          <w:rFonts w:ascii="Times New Roman" w:hAnsi="Times New Roman" w:cs="KaiTi_GB2312" w:hint="eastAsia"/>
          <w:szCs w:val="32"/>
        </w:rPr>
        <w:t>环境影响对策</w:t>
      </w:r>
      <w:r>
        <w:tab/>
      </w:r>
      <w:fldSimple w:instr=" PAGEREF _Toc1949951391 \h ">
        <w:r>
          <w:t>34</w:t>
        </w:r>
      </w:fldSimple>
    </w:p>
    <w:p w14:paraId="0DA23ACD" w14:textId="77777777" w:rsidR="00000000" w:rsidRDefault="00000000">
      <w:pPr>
        <w:pStyle w:val="TOC1"/>
        <w:tabs>
          <w:tab w:val="right" w:leader="dot" w:pos="8844"/>
        </w:tabs>
      </w:pPr>
      <w:r>
        <w:rPr>
          <w:rFonts w:ascii="Times New Roman" w:hAnsi="Times New Roman" w:cs="Times New Roman"/>
          <w:b w:val="0"/>
          <w:bCs/>
          <w:szCs w:val="32"/>
        </w:rPr>
        <w:t>第七章</w:t>
      </w:r>
      <w:r>
        <w:rPr>
          <w:rFonts w:ascii="Times New Roman" w:hAnsi="Times New Roman" w:cs="Times New Roman"/>
          <w:b w:val="0"/>
          <w:bCs/>
          <w:szCs w:val="32"/>
        </w:rPr>
        <w:t xml:space="preserve"> </w:t>
      </w:r>
      <w:r>
        <w:rPr>
          <w:rFonts w:ascii="Times New Roman" w:hAnsi="Times New Roman" w:cs="Times New Roman"/>
          <w:b w:val="0"/>
          <w:bCs/>
          <w:szCs w:val="32"/>
        </w:rPr>
        <w:t>实施保障</w:t>
      </w:r>
      <w:r>
        <w:tab/>
      </w:r>
      <w:fldSimple w:instr=" PAGEREF _Toc1368322127 \h ">
        <w:r>
          <w:t>35</w:t>
        </w:r>
      </w:fldSimple>
    </w:p>
    <w:p w14:paraId="23B695B4" w14:textId="77777777" w:rsidR="00000000" w:rsidRDefault="00000000">
      <w:pPr>
        <w:pStyle w:val="TOC2"/>
        <w:tabs>
          <w:tab w:val="right" w:leader="dot" w:pos="8844"/>
        </w:tabs>
      </w:pPr>
      <w:r>
        <w:rPr>
          <w:rFonts w:ascii="Times New Roman" w:hAnsi="Times New Roman" w:cs="KaiTi_GB2312" w:hint="eastAsia"/>
          <w:szCs w:val="32"/>
        </w:rPr>
        <w:t>第一节</w:t>
      </w:r>
      <w:r>
        <w:rPr>
          <w:rFonts w:ascii="Times New Roman" w:hAnsi="Times New Roman" w:cs="KaiTi_GB2312" w:hint="eastAsia"/>
          <w:szCs w:val="32"/>
        </w:rPr>
        <w:t xml:space="preserve"> </w:t>
      </w:r>
      <w:r>
        <w:rPr>
          <w:rFonts w:ascii="Times New Roman" w:hAnsi="Times New Roman" w:cs="KaiTi_GB2312" w:hint="eastAsia"/>
          <w:szCs w:val="32"/>
        </w:rPr>
        <w:t>加强组织领导</w:t>
      </w:r>
      <w:r>
        <w:tab/>
      </w:r>
      <w:fldSimple w:instr=" PAGEREF _Toc147367770 \h ">
        <w:r>
          <w:t>35</w:t>
        </w:r>
      </w:fldSimple>
    </w:p>
    <w:p w14:paraId="2E99DBF4" w14:textId="77777777" w:rsidR="00000000" w:rsidRDefault="00000000">
      <w:pPr>
        <w:pStyle w:val="TOC2"/>
        <w:tabs>
          <w:tab w:val="right" w:leader="dot" w:pos="8844"/>
        </w:tabs>
      </w:pPr>
      <w:r>
        <w:rPr>
          <w:rFonts w:ascii="Times New Roman" w:hAnsi="Times New Roman" w:cs="KaiTi_GB2312" w:hint="eastAsia"/>
          <w:szCs w:val="32"/>
        </w:rPr>
        <w:t>第二节</w:t>
      </w:r>
      <w:r>
        <w:rPr>
          <w:rFonts w:ascii="Times New Roman" w:hAnsi="Times New Roman" w:cs="KaiTi_GB2312" w:hint="eastAsia"/>
          <w:szCs w:val="32"/>
        </w:rPr>
        <w:t xml:space="preserve"> </w:t>
      </w:r>
      <w:r>
        <w:rPr>
          <w:rFonts w:ascii="Times New Roman" w:hAnsi="Times New Roman" w:cs="KaiTi_GB2312" w:hint="eastAsia"/>
          <w:szCs w:val="32"/>
        </w:rPr>
        <w:t>争取国家支持</w:t>
      </w:r>
      <w:r>
        <w:tab/>
      </w:r>
      <w:fldSimple w:instr=" PAGEREF _Toc569539949 \h ">
        <w:r>
          <w:t>35</w:t>
        </w:r>
      </w:fldSimple>
    </w:p>
    <w:p w14:paraId="5F97F701" w14:textId="77777777" w:rsidR="00000000" w:rsidRDefault="00000000">
      <w:pPr>
        <w:pStyle w:val="TOC2"/>
        <w:tabs>
          <w:tab w:val="right" w:leader="dot" w:pos="8844"/>
        </w:tabs>
      </w:pPr>
      <w:r>
        <w:rPr>
          <w:rFonts w:ascii="Times New Roman" w:hAnsi="Times New Roman" w:cs="KaiTi_GB2312" w:hint="eastAsia"/>
          <w:szCs w:val="32"/>
        </w:rPr>
        <w:t>第三节</w:t>
      </w:r>
      <w:r>
        <w:rPr>
          <w:rFonts w:ascii="Times New Roman" w:hAnsi="Times New Roman" w:cs="KaiTi_GB2312" w:hint="eastAsia"/>
          <w:szCs w:val="32"/>
        </w:rPr>
        <w:t xml:space="preserve"> </w:t>
      </w:r>
      <w:r>
        <w:rPr>
          <w:rFonts w:ascii="Times New Roman" w:hAnsi="Times New Roman" w:cs="KaiTi_GB2312" w:hint="eastAsia"/>
          <w:szCs w:val="32"/>
        </w:rPr>
        <w:t>统筹规划衔接</w:t>
      </w:r>
      <w:r>
        <w:tab/>
      </w:r>
      <w:fldSimple w:instr=" PAGEREF _Toc1220039518 \h ">
        <w:r>
          <w:t>35</w:t>
        </w:r>
      </w:fldSimple>
    </w:p>
    <w:p w14:paraId="63EBD99F" w14:textId="77777777" w:rsidR="00000000" w:rsidRDefault="00000000">
      <w:pPr>
        <w:pStyle w:val="TOC2"/>
        <w:tabs>
          <w:tab w:val="right" w:leader="dot" w:pos="8844"/>
        </w:tabs>
      </w:pPr>
      <w:r>
        <w:rPr>
          <w:rFonts w:ascii="Times New Roman" w:hAnsi="Times New Roman" w:cs="KaiTi_GB2312" w:hint="eastAsia"/>
          <w:szCs w:val="32"/>
        </w:rPr>
        <w:t>第四节</w:t>
      </w:r>
      <w:r>
        <w:rPr>
          <w:rFonts w:ascii="Times New Roman" w:hAnsi="Times New Roman" w:cs="KaiTi_GB2312" w:hint="eastAsia"/>
          <w:szCs w:val="32"/>
        </w:rPr>
        <w:t xml:space="preserve"> </w:t>
      </w:r>
      <w:r>
        <w:rPr>
          <w:rFonts w:ascii="Times New Roman" w:hAnsi="Times New Roman" w:cs="KaiTi_GB2312" w:hint="eastAsia"/>
          <w:szCs w:val="32"/>
        </w:rPr>
        <w:t>强化要素保障</w:t>
      </w:r>
      <w:r>
        <w:tab/>
      </w:r>
      <w:fldSimple w:instr=" PAGEREF _Toc1140101509 \h ">
        <w:r>
          <w:t>36</w:t>
        </w:r>
      </w:fldSimple>
    </w:p>
    <w:p w14:paraId="6A08970E" w14:textId="77777777" w:rsidR="00000000" w:rsidRDefault="00000000">
      <w:pPr>
        <w:pStyle w:val="TOC1"/>
        <w:tabs>
          <w:tab w:val="right" w:leader="dot" w:pos="8844"/>
        </w:tabs>
      </w:pPr>
      <w:r>
        <w:rPr>
          <w:rFonts w:ascii="Times New Roman" w:hAnsi="Times New Roman" w:cs="Times New Roman"/>
          <w:b w:val="0"/>
          <w:bCs/>
          <w:szCs w:val="32"/>
        </w:rPr>
        <w:t>名词解释</w:t>
      </w:r>
      <w:r>
        <w:tab/>
      </w:r>
      <w:fldSimple w:instr=" PAGEREF _Toc958380054 \h ">
        <w:r>
          <w:t>37</w:t>
        </w:r>
      </w:fldSimple>
    </w:p>
    <w:p w14:paraId="6697DC4F" w14:textId="77777777" w:rsidR="00000000" w:rsidRDefault="00000000">
      <w:pPr>
        <w:widowControl/>
        <w:tabs>
          <w:tab w:val="right" w:leader="dot" w:pos="8820"/>
        </w:tabs>
        <w:rPr>
          <w:rFonts w:hint="eastAsia"/>
        </w:rPr>
        <w:sectPr w:rsidR="00000000">
          <w:headerReference w:type="default" r:id="rId6"/>
          <w:footerReference w:type="default" r:id="rId7"/>
          <w:pgSz w:w="11906" w:h="16838"/>
          <w:pgMar w:top="1928" w:right="1531" w:bottom="1701" w:left="1531" w:header="851" w:footer="1247" w:gutter="0"/>
          <w:pgNumType w:start="1"/>
          <w:cols w:space="720"/>
          <w:docGrid w:type="lines" w:linePitch="579"/>
        </w:sectPr>
      </w:pPr>
      <w:r>
        <w:rPr>
          <w:rFonts w:cs="Times New Roman"/>
          <w:szCs w:val="30"/>
        </w:rPr>
        <w:fldChar w:fldCharType="end"/>
      </w:r>
      <w:r>
        <w:rPr>
          <w:rFonts w:hint="eastAsia"/>
        </w:rPr>
        <w:t xml:space="preserve">    </w:t>
      </w:r>
    </w:p>
    <w:p w14:paraId="6AEBB5F0" w14:textId="77777777" w:rsidR="00000000" w:rsidRDefault="00000000">
      <w:pPr>
        <w:widowControl/>
        <w:tabs>
          <w:tab w:val="right" w:leader="dot" w:pos="8820"/>
        </w:tabs>
        <w:ind w:firstLineChars="200" w:firstLine="651"/>
        <w:jc w:val="left"/>
        <w:rPr>
          <w:rFonts w:eastAsia="FangSong_GB2312"/>
          <w:sz w:val="32"/>
          <w:szCs w:val="32"/>
        </w:rPr>
      </w:pPr>
      <w:r>
        <w:rPr>
          <w:rFonts w:eastAsia="FangSong_GB2312" w:cs="Times New Roman" w:hint="eastAsia"/>
          <w:sz w:val="32"/>
          <w:szCs w:val="32"/>
        </w:rPr>
        <w:lastRenderedPageBreak/>
        <w:t>“</w:t>
      </w:r>
      <w:r>
        <w:rPr>
          <w:rFonts w:eastAsia="FangSong_GB2312" w:cs="Times New Roman"/>
          <w:sz w:val="32"/>
          <w:szCs w:val="32"/>
        </w:rPr>
        <w:t>十五五</w:t>
      </w:r>
      <w:r>
        <w:rPr>
          <w:rFonts w:eastAsia="FangSong_GB2312" w:cs="Times New Roman" w:hint="eastAsia"/>
          <w:sz w:val="32"/>
          <w:szCs w:val="32"/>
        </w:rPr>
        <w:t>”</w:t>
      </w:r>
      <w:r>
        <w:rPr>
          <w:rFonts w:eastAsia="FangSong_GB2312" w:cs="Times New Roman"/>
          <w:sz w:val="32"/>
          <w:szCs w:val="32"/>
        </w:rPr>
        <w:t>时期是建</w:t>
      </w:r>
      <w:r>
        <w:rPr>
          <w:rFonts w:eastAsia="FangSong_GB2312"/>
          <w:sz w:val="32"/>
          <w:szCs w:val="32"/>
        </w:rPr>
        <w:t>设交通强国、加快建设具有世界影响力的中国特色自由贸易港的关键五年。为发挥交通运输基础性、先导性、战略性作用</w:t>
      </w:r>
      <w:r>
        <w:rPr>
          <w:rFonts w:eastAsia="FangSong_GB2312" w:hint="eastAsia"/>
          <w:sz w:val="32"/>
          <w:szCs w:val="32"/>
        </w:rPr>
        <w:t>，</w:t>
      </w:r>
      <w:r>
        <w:rPr>
          <w:rFonts w:eastAsia="FangSong_GB2312"/>
          <w:sz w:val="32"/>
          <w:szCs w:val="32"/>
        </w:rPr>
        <w:t>加快建设现代化综合交通运输体系，支撑海南全面深化改革开放、高标准建设自由贸易港，根据《海南省国民经济和社会发展第十五个五年规划纲要》《海南省综合立体交通网规划纲要》，制定本规划。</w:t>
      </w:r>
    </w:p>
    <w:p w14:paraId="6FAF9FF6" w14:textId="77777777" w:rsidR="00000000" w:rsidRDefault="00000000">
      <w:pPr>
        <w:spacing w:beforeLines="30" w:before="173" w:afterLines="30" w:after="173" w:line="600" w:lineRule="exact"/>
        <w:jc w:val="center"/>
        <w:outlineLvl w:val="0"/>
        <w:rPr>
          <w:rFonts w:eastAsia="SimHei" w:cs="Times New Roman"/>
          <w:sz w:val="32"/>
          <w:szCs w:val="32"/>
        </w:rPr>
      </w:pPr>
      <w:bookmarkStart w:id="4" w:name="_Toc77155761"/>
      <w:bookmarkStart w:id="5" w:name="_Toc19185"/>
      <w:bookmarkStart w:id="6" w:name="_Toc10867"/>
      <w:bookmarkStart w:id="7" w:name="_Toc388840105"/>
      <w:bookmarkStart w:id="8" w:name="_Toc1044533227"/>
      <w:bookmarkStart w:id="9" w:name="_Toc887029029"/>
      <w:bookmarkStart w:id="10" w:name="_Toc1134663699"/>
      <w:bookmarkStart w:id="11" w:name="_Toc1894549222"/>
      <w:r>
        <w:rPr>
          <w:rFonts w:eastAsia="SimHei" w:cs="Times New Roman"/>
          <w:sz w:val="32"/>
          <w:szCs w:val="32"/>
        </w:rPr>
        <w:t>第一章</w:t>
      </w:r>
      <w:r>
        <w:rPr>
          <w:rFonts w:eastAsia="SimHei" w:cs="Times New Roman"/>
          <w:sz w:val="32"/>
          <w:szCs w:val="32"/>
        </w:rPr>
        <w:t xml:space="preserve"> </w:t>
      </w:r>
      <w:r>
        <w:rPr>
          <w:rFonts w:eastAsia="SimHei" w:cs="Times New Roman"/>
          <w:sz w:val="32"/>
          <w:szCs w:val="32"/>
        </w:rPr>
        <w:t>总体要求</w:t>
      </w:r>
      <w:bookmarkEnd w:id="4"/>
      <w:bookmarkEnd w:id="5"/>
      <w:bookmarkEnd w:id="6"/>
      <w:bookmarkEnd w:id="7"/>
      <w:bookmarkEnd w:id="8"/>
      <w:bookmarkEnd w:id="9"/>
      <w:bookmarkEnd w:id="10"/>
      <w:bookmarkEnd w:id="11"/>
    </w:p>
    <w:p w14:paraId="3F98903C" w14:textId="77777777" w:rsidR="00000000" w:rsidRDefault="00000000">
      <w:pPr>
        <w:keepNext/>
        <w:keepLines/>
        <w:spacing w:beforeLines="30" w:before="173" w:afterLines="30" w:after="173" w:line="600" w:lineRule="exact"/>
        <w:jc w:val="center"/>
        <w:outlineLvl w:val="1"/>
        <w:rPr>
          <w:rFonts w:eastAsia="KaiTi_GB2312" w:cs="KaiTi_GB2312" w:hint="eastAsia"/>
          <w:sz w:val="32"/>
          <w:szCs w:val="32"/>
        </w:rPr>
      </w:pPr>
      <w:bookmarkStart w:id="12" w:name="_Toc504832265"/>
      <w:bookmarkStart w:id="13" w:name="_Toc1767531427"/>
      <w:bookmarkStart w:id="14" w:name="_Toc22948"/>
      <w:bookmarkStart w:id="15" w:name="_Toc1006688984"/>
      <w:bookmarkStart w:id="16" w:name="_Toc2030659245"/>
      <w:bookmarkStart w:id="17" w:name="_Toc4362"/>
      <w:bookmarkStart w:id="18" w:name="_Toc1394107814"/>
      <w:bookmarkStart w:id="19" w:name="_Toc561695459"/>
      <w:r>
        <w:rPr>
          <w:rFonts w:eastAsia="KaiTi_GB2312" w:cs="KaiTi_GB2312" w:hint="eastAsia"/>
          <w:sz w:val="32"/>
          <w:szCs w:val="32"/>
        </w:rPr>
        <w:t>第一节</w:t>
      </w:r>
      <w:r>
        <w:rPr>
          <w:rFonts w:eastAsia="KaiTi_GB2312" w:cs="KaiTi_GB2312" w:hint="eastAsia"/>
          <w:sz w:val="32"/>
          <w:szCs w:val="32"/>
        </w:rPr>
        <w:t xml:space="preserve"> </w:t>
      </w:r>
      <w:r>
        <w:rPr>
          <w:rFonts w:eastAsia="KaiTi_GB2312" w:cs="KaiTi_GB2312" w:hint="eastAsia"/>
          <w:sz w:val="32"/>
          <w:szCs w:val="32"/>
        </w:rPr>
        <w:t>发展基础</w:t>
      </w:r>
      <w:bookmarkEnd w:id="12"/>
      <w:bookmarkEnd w:id="13"/>
      <w:bookmarkEnd w:id="14"/>
      <w:bookmarkEnd w:id="15"/>
      <w:bookmarkEnd w:id="16"/>
      <w:bookmarkEnd w:id="17"/>
      <w:bookmarkEnd w:id="18"/>
      <w:bookmarkEnd w:id="19"/>
    </w:p>
    <w:p w14:paraId="5AE22EFA" w14:textId="77777777" w:rsidR="00000000" w:rsidRDefault="00000000">
      <w:pPr>
        <w:spacing w:line="590" w:lineRule="exact"/>
        <w:ind w:firstLineChars="200" w:firstLine="651"/>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十四五”时期，海南省坚决贯彻落实党中央、国务院战略部署，锚定交通强国建设目标、“三区一中心”战略定位及海南自由贸易港建设要求，加快推进重大任务、重大举措、重大项目实施，全省现代化综合交通运输体系建设成效显著。</w:t>
      </w:r>
      <w:bookmarkStart w:id="20" w:name="OLE_LINK62"/>
      <w:r>
        <w:rPr>
          <w:rFonts w:ascii="FangSong_GB2312" w:eastAsia="FangSong_GB2312" w:hAnsi="FangSong_GB2312" w:cs="FangSong_GB2312" w:hint="eastAsia"/>
          <w:b/>
          <w:bCs/>
          <w:sz w:val="32"/>
          <w:szCs w:val="32"/>
        </w:rPr>
        <w:t>交通基础设施体系加快构建</w:t>
      </w:r>
      <w:r>
        <w:rPr>
          <w:rFonts w:ascii="FangSong_GB2312" w:eastAsia="FangSong_GB2312" w:hAnsi="FangSong_GB2312" w:cs="FangSong_GB2312" w:hint="eastAsia"/>
          <w:b/>
          <w:bCs/>
          <w:sz w:val="32"/>
          <w:szCs w:val="32"/>
          <w:lang w:bidi="ar"/>
        </w:rPr>
        <w:t>，</w:t>
      </w:r>
      <w:r>
        <w:rPr>
          <w:rFonts w:ascii="FangSong_GB2312" w:eastAsia="FangSong_GB2312" w:hAnsi="FangSong_GB2312" w:cs="FangSong_GB2312" w:hint="eastAsia"/>
          <w:sz w:val="32"/>
          <w:szCs w:val="32"/>
        </w:rPr>
        <w:t>海口美兰机场二期、</w:t>
      </w:r>
      <w:r>
        <w:rPr>
          <w:rFonts w:ascii="FangSong_GB2312" w:eastAsia="FangSong_GB2312" w:hAnsi="FangSong_GB2312" w:cs="FangSong_GB2312" w:hint="eastAsia"/>
          <w:bCs/>
          <w:sz w:val="32"/>
          <w:szCs w:val="32"/>
        </w:rPr>
        <w:t>海南洋浦区域国际集装箱枢纽港扩建工程（一阶段）、</w:t>
      </w:r>
      <w:r>
        <w:rPr>
          <w:rFonts w:ascii="FangSong_GB2312" w:eastAsia="FangSong_GB2312" w:hAnsi="FangSong_GB2312" w:cs="FangSong_GB2312" w:hint="eastAsia"/>
          <w:sz w:val="32"/>
          <w:szCs w:val="32"/>
        </w:rPr>
        <w:t>海口新海滚装码头客运综合枢纽、G15沈海高速海口段、G360文昌至临高公路、G9812海琼高速延长线、洋浦疏港高速公路、“双环”旅游公路、三亚至乐东旅游铁路等建成投运，主要品牌邮政快递企业省级处理中心基本实现新建或更新，自动化分拣全覆盖。</w:t>
      </w:r>
      <w:r>
        <w:rPr>
          <w:rFonts w:ascii="FangSong_GB2312" w:eastAsia="FangSong_GB2312" w:hAnsi="FangSong_GB2312" w:cs="FangSong_GB2312" w:hint="eastAsia"/>
          <w:b/>
          <w:bCs/>
          <w:sz w:val="32"/>
          <w:szCs w:val="32"/>
          <w:lang w:bidi="ar"/>
        </w:rPr>
        <w:t>综合运输承载力显著提升，</w:t>
      </w:r>
      <w:r>
        <w:rPr>
          <w:rFonts w:ascii="FangSong_GB2312" w:eastAsia="FangSong_GB2312" w:hAnsi="FangSong_GB2312" w:cs="FangSong_GB2312" w:hint="eastAsia"/>
          <w:sz w:val="32"/>
          <w:szCs w:val="32"/>
        </w:rPr>
        <w:t>全岛运输机场旅客保障能力达到6800万人次，码头生产性泊位158个（万吨级及以上89个），港口综合通过能力3.1亿吨；开通境外客货运航线覆盖45个国际（地区）城市</w:t>
      </w:r>
      <w:bookmarkEnd w:id="20"/>
      <w:r>
        <w:rPr>
          <w:rFonts w:ascii="FangSong_GB2312" w:eastAsia="FangSong_GB2312" w:hAnsi="FangSong_GB2312" w:cs="FangSong_GB2312" w:hint="eastAsia"/>
          <w:sz w:val="32"/>
          <w:szCs w:val="32"/>
        </w:rPr>
        <w:t>，集装箱班轮航线达75条（外贸航线36条）</w:t>
      </w:r>
      <w:bookmarkStart w:id="21" w:name="OLE_LINK63"/>
      <w:r>
        <w:rPr>
          <w:rFonts w:ascii="FangSong_GB2312" w:eastAsia="FangSong_GB2312" w:hAnsi="FangSong_GB2312" w:cs="FangSong_GB2312" w:hint="eastAsia"/>
          <w:sz w:val="32"/>
          <w:szCs w:val="32"/>
        </w:rPr>
        <w:t>；</w:t>
      </w:r>
      <w:r>
        <w:rPr>
          <w:rFonts w:ascii="FangSong_GB2312" w:eastAsia="FangSong_GB2312" w:hAnsi="FangSong_GB2312" w:cs="FangSong_GB2312" w:hint="eastAsia"/>
          <w:sz w:val="32"/>
          <w:szCs w:val="32"/>
        </w:rPr>
        <w:lastRenderedPageBreak/>
        <w:t>综合交通网络规模达43629公里，客运总量达1.5亿人次，货运总量达3.34亿吨。</w:t>
      </w:r>
      <w:r>
        <w:rPr>
          <w:rFonts w:ascii="FangSong_GB2312" w:eastAsia="FangSong_GB2312" w:hAnsi="FangSong_GB2312" w:cs="FangSong_GB2312" w:hint="eastAsia"/>
          <w:b/>
          <w:bCs/>
          <w:sz w:val="32"/>
          <w:szCs w:val="32"/>
          <w:lang w:bidi="ar"/>
        </w:rPr>
        <w:t>运输服务品质提档增效，</w:t>
      </w:r>
      <w:r>
        <w:rPr>
          <w:rFonts w:ascii="FangSong_GB2312" w:eastAsia="FangSong_GB2312" w:hAnsi="FangSong_GB2312" w:cs="FangSong_GB2312" w:hint="eastAsia"/>
          <w:bCs/>
          <w:sz w:val="32"/>
          <w:szCs w:val="32"/>
        </w:rPr>
        <w:t>环岛高铁东、西段列车开行对数</w:t>
      </w:r>
      <w:r>
        <w:rPr>
          <w:rFonts w:ascii="FangSong_GB2312" w:eastAsia="FangSong_GB2312" w:hAnsi="FangSong_GB2312" w:cs="FangSong_GB2312" w:hint="eastAsia"/>
          <w:sz w:val="32"/>
          <w:szCs w:val="32"/>
        </w:rPr>
        <w:t>较“十三五”末</w:t>
      </w:r>
      <w:r>
        <w:rPr>
          <w:rFonts w:ascii="FangSong_GB2312" w:eastAsia="FangSong_GB2312" w:hAnsi="FangSong_GB2312" w:cs="FangSong_GB2312" w:hint="eastAsia"/>
          <w:bCs/>
          <w:sz w:val="32"/>
          <w:szCs w:val="32"/>
        </w:rPr>
        <w:t>分别提升10%、52%，高峰期发车间隔缩短至10分钟；</w:t>
      </w:r>
      <w:r>
        <w:rPr>
          <w:rFonts w:ascii="FangSong_GB2312" w:eastAsia="FangSong_GB2312" w:hAnsi="FangSong_GB2312" w:cs="FangSong_GB2312" w:hint="eastAsia"/>
          <w:sz w:val="32"/>
          <w:szCs w:val="32"/>
        </w:rPr>
        <w:t>全省二级及以上公路客运站、省际和市际客运班线电子客票覆盖率均达到100%；全省建制村通客车继续保持100%；建制村通邮100%。</w:t>
      </w:r>
      <w:r>
        <w:rPr>
          <w:rFonts w:ascii="FangSong_GB2312" w:eastAsia="FangSong_GB2312" w:hAnsi="FangSong_GB2312" w:cs="FangSong_GB2312" w:hint="eastAsia"/>
          <w:b/>
          <w:bCs/>
          <w:sz w:val="32"/>
          <w:szCs w:val="32"/>
          <w:lang w:bidi="ar"/>
        </w:rPr>
        <w:t>重大改革创新持续破局，</w:t>
      </w:r>
      <w:r>
        <w:rPr>
          <w:rFonts w:ascii="FangSong_GB2312" w:eastAsia="FangSong_GB2312" w:hAnsi="FangSong_GB2312" w:cs="FangSong_GB2312" w:hint="eastAsia"/>
          <w:sz w:val="32"/>
          <w:szCs w:val="32"/>
        </w:rPr>
        <w:t>“中国洋浦港”船籍港登记</w:t>
      </w:r>
      <w:r>
        <w:rPr>
          <w:rFonts w:ascii="FangSong_GB2312" w:eastAsia="FangSong_GB2312" w:hAnsi="FangSong_GB2312" w:cs="FangSong_GB2312" w:hint="eastAsia"/>
          <w:sz w:val="32"/>
          <w:szCs w:val="32"/>
          <w:lang w:bidi="ar"/>
        </w:rPr>
        <w:t>船舶数量及总运力居全国自贸区（港）</w:t>
      </w:r>
      <w:bookmarkStart w:id="22" w:name="OLE_LINK17"/>
      <w:bookmarkEnd w:id="21"/>
      <w:r>
        <w:rPr>
          <w:rFonts w:ascii="FangSong_GB2312" w:eastAsia="FangSong_GB2312" w:hAnsi="FangSong_GB2312" w:cs="FangSong_GB2312" w:hint="eastAsia"/>
          <w:sz w:val="32"/>
          <w:szCs w:val="32"/>
          <w:lang w:bidi="ar"/>
        </w:rPr>
        <w:t>首位</w:t>
      </w:r>
      <w:r>
        <w:rPr>
          <w:rFonts w:ascii="FangSong_GB2312" w:eastAsia="FangSong_GB2312" w:hAnsi="FangSong_GB2312" w:cs="FangSong_GB2312" w:hint="eastAsia"/>
          <w:sz w:val="32"/>
          <w:szCs w:val="32"/>
        </w:rPr>
        <w:t>；“环岛旅游公路创新发展”交通强国建设试点任务全面完成</w:t>
      </w:r>
      <w:bookmarkEnd w:id="22"/>
      <w:r>
        <w:rPr>
          <w:rFonts w:ascii="FangSong_GB2312" w:eastAsia="FangSong_GB2312" w:hAnsi="FangSong_GB2312" w:cs="FangSong_GB2312" w:hint="eastAsia"/>
          <w:sz w:val="32"/>
          <w:szCs w:val="32"/>
        </w:rPr>
        <w:t>；有人机、无人机总飞行量排名全国前列，低空飞行密度、空中游览和跳伞飞行量连续多年位列全国第一。</w:t>
      </w:r>
    </w:p>
    <w:p w14:paraId="32311D37" w14:textId="77777777" w:rsidR="00000000" w:rsidRDefault="00000000">
      <w:pPr>
        <w:spacing w:line="600" w:lineRule="exact"/>
        <w:ind w:firstLineChars="200" w:firstLine="651"/>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尽管全省综合交通运输体系建设发展取得长足进步，但“十五五”时期对提升全省交通基础设施支撑能力和保障水平，构建现代化综合交通运输体系提出了新的更高的要求，需要加大工作力度、接续努力奋斗。</w:t>
      </w:r>
    </w:p>
    <w:p w14:paraId="213A8C24" w14:textId="77777777" w:rsidR="00000000" w:rsidRDefault="00000000">
      <w:pPr>
        <w:keepNext/>
        <w:keepLines/>
        <w:spacing w:beforeLines="30" w:before="173" w:afterLines="30" w:after="173" w:line="600" w:lineRule="exact"/>
        <w:jc w:val="center"/>
        <w:outlineLvl w:val="1"/>
        <w:rPr>
          <w:rFonts w:eastAsia="KaiTi_GB2312" w:cs="KaiTi_GB2312" w:hint="eastAsia"/>
          <w:sz w:val="32"/>
          <w:szCs w:val="32"/>
        </w:rPr>
      </w:pPr>
      <w:bookmarkStart w:id="23" w:name="_Toc725065582"/>
      <w:bookmarkStart w:id="24" w:name="_Toc2140282402"/>
      <w:bookmarkStart w:id="25" w:name="_Toc30408"/>
      <w:bookmarkStart w:id="26" w:name="_Toc1392097728"/>
      <w:bookmarkStart w:id="27" w:name="_Toc1797477318"/>
      <w:bookmarkStart w:id="28" w:name="_Toc18915"/>
      <w:bookmarkStart w:id="29" w:name="_Toc2064998317"/>
      <w:bookmarkStart w:id="30" w:name="_Toc253777308"/>
      <w:r>
        <w:rPr>
          <w:rFonts w:eastAsia="KaiTi_GB2312" w:cs="KaiTi_GB2312" w:hint="eastAsia"/>
          <w:sz w:val="32"/>
          <w:szCs w:val="32"/>
        </w:rPr>
        <w:t>第二节</w:t>
      </w:r>
      <w:r>
        <w:rPr>
          <w:rFonts w:eastAsia="KaiTi_GB2312" w:cs="KaiTi_GB2312" w:hint="eastAsia"/>
          <w:sz w:val="32"/>
          <w:szCs w:val="32"/>
        </w:rPr>
        <w:t xml:space="preserve"> </w:t>
      </w:r>
      <w:r>
        <w:rPr>
          <w:rFonts w:eastAsia="KaiTi_GB2312" w:cs="KaiTi_GB2312" w:hint="eastAsia"/>
          <w:sz w:val="32"/>
          <w:szCs w:val="32"/>
        </w:rPr>
        <w:t>指导思想</w:t>
      </w:r>
      <w:bookmarkEnd w:id="23"/>
      <w:bookmarkEnd w:id="24"/>
      <w:bookmarkEnd w:id="25"/>
      <w:bookmarkEnd w:id="26"/>
      <w:bookmarkEnd w:id="27"/>
      <w:bookmarkEnd w:id="28"/>
      <w:bookmarkEnd w:id="29"/>
      <w:bookmarkEnd w:id="30"/>
    </w:p>
    <w:p w14:paraId="5E1F0DA7" w14:textId="77777777" w:rsidR="00000000" w:rsidRDefault="00000000">
      <w:pPr>
        <w:spacing w:line="600" w:lineRule="exact"/>
        <w:ind w:firstLineChars="200" w:firstLine="651"/>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以习近平新时代中国特色社会主义思想为指导，全面贯彻党的二十大和二十届历次全会精神、中央经济工作会议精神及习近平总书记关于海南工作的系列重要讲话和指示批示精神，坚持稳中求进工作总基调，完整准确全面贯彻新发展理念，积极融入和服务新发展格局，认真贯彻落实省委、省政府决策部署，锚定“一本三基四梁八柱”战略框架，坚持全局观念和系统性思维，加快构建安全、便捷、高效、绿色、经济、包容、</w:t>
      </w:r>
      <w:r>
        <w:rPr>
          <w:rFonts w:ascii="FangSong_GB2312" w:eastAsia="FangSong_GB2312" w:hAnsi="FangSong_GB2312" w:cs="FangSong_GB2312" w:hint="eastAsia"/>
          <w:sz w:val="32"/>
          <w:szCs w:val="32"/>
        </w:rPr>
        <w:lastRenderedPageBreak/>
        <w:t>韧性的现代化综合交通运输体系，</w:t>
      </w:r>
      <w:r>
        <w:rPr>
          <w:rFonts w:ascii="FangSong_GB2312" w:eastAsia="FangSong_GB2312" w:hAnsi="FangSong_GB2312" w:cs="FangSong_GB2312" w:hint="eastAsia"/>
          <w:sz w:val="32"/>
          <w:szCs w:val="32"/>
          <w:lang w:bidi="ar"/>
        </w:rPr>
        <w:t>建立更加自由开放的航运制度，</w:t>
      </w:r>
      <w:r>
        <w:rPr>
          <w:rFonts w:ascii="FangSong_GB2312" w:eastAsia="FangSong_GB2312" w:hAnsi="FangSong_GB2312" w:cs="FangSong_GB2312" w:hint="eastAsia"/>
          <w:sz w:val="32"/>
          <w:szCs w:val="32"/>
        </w:rPr>
        <w:t>奋力打造“两个基地”“两个枢纽”“两个网络”，科学指引海南综合交通运输一体化、开创性、高质量发展，为把海南自由贸易港打造成为引领我国新时代对外开放的重要门户提供重要保障和关键支撑。</w:t>
      </w:r>
    </w:p>
    <w:p w14:paraId="685BB1EE" w14:textId="77777777" w:rsidR="00000000" w:rsidRDefault="00000000">
      <w:pPr>
        <w:keepNext/>
        <w:keepLines/>
        <w:spacing w:beforeLines="30" w:before="173" w:afterLines="30" w:after="173" w:line="600" w:lineRule="exact"/>
        <w:jc w:val="center"/>
        <w:outlineLvl w:val="1"/>
        <w:rPr>
          <w:rFonts w:eastAsia="KaiTi_GB2312" w:cs="KaiTi_GB2312" w:hint="eastAsia"/>
          <w:sz w:val="32"/>
          <w:szCs w:val="32"/>
        </w:rPr>
      </w:pPr>
      <w:bookmarkStart w:id="31" w:name="_Toc19174"/>
      <w:bookmarkStart w:id="32" w:name="_Toc779018627"/>
      <w:bookmarkStart w:id="33" w:name="_Toc1637113610"/>
      <w:bookmarkStart w:id="34" w:name="_Toc1395698373"/>
      <w:bookmarkStart w:id="35" w:name="_Toc2058172522"/>
      <w:bookmarkStart w:id="36" w:name="_Toc1128261372"/>
      <w:bookmarkStart w:id="37" w:name="_Toc1747959895"/>
      <w:bookmarkStart w:id="38" w:name="_Toc22998"/>
      <w:r>
        <w:rPr>
          <w:rFonts w:eastAsia="KaiTi_GB2312" w:cs="KaiTi_GB2312" w:hint="eastAsia"/>
          <w:sz w:val="32"/>
          <w:szCs w:val="32"/>
        </w:rPr>
        <w:t>第三节</w:t>
      </w:r>
      <w:r>
        <w:rPr>
          <w:rFonts w:eastAsia="KaiTi_GB2312" w:cs="KaiTi_GB2312" w:hint="eastAsia"/>
          <w:sz w:val="32"/>
          <w:szCs w:val="32"/>
        </w:rPr>
        <w:t xml:space="preserve"> </w:t>
      </w:r>
      <w:r>
        <w:rPr>
          <w:rFonts w:eastAsia="KaiTi_GB2312" w:cs="KaiTi_GB2312" w:hint="eastAsia"/>
          <w:sz w:val="32"/>
          <w:szCs w:val="32"/>
        </w:rPr>
        <w:t>基本原则</w:t>
      </w:r>
      <w:bookmarkEnd w:id="31"/>
      <w:bookmarkEnd w:id="32"/>
      <w:bookmarkEnd w:id="33"/>
      <w:bookmarkEnd w:id="34"/>
      <w:bookmarkEnd w:id="35"/>
      <w:bookmarkEnd w:id="36"/>
      <w:bookmarkEnd w:id="37"/>
      <w:bookmarkEnd w:id="38"/>
    </w:p>
    <w:p w14:paraId="20C5F7BE" w14:textId="77777777" w:rsidR="00000000" w:rsidRDefault="00000000">
      <w:pPr>
        <w:spacing w:line="600" w:lineRule="exact"/>
        <w:ind w:firstLineChars="200" w:firstLine="651"/>
        <w:rPr>
          <w:rFonts w:eastAsia="FangSong_GB2312"/>
          <w:sz w:val="32"/>
          <w:szCs w:val="32"/>
        </w:rPr>
      </w:pPr>
      <w:r>
        <w:rPr>
          <w:rFonts w:eastAsia="FangSong_GB2312"/>
          <w:b/>
          <w:bCs/>
          <w:sz w:val="32"/>
          <w:szCs w:val="32"/>
        </w:rPr>
        <w:t>坚持战略引领。</w:t>
      </w:r>
      <w:r>
        <w:rPr>
          <w:rFonts w:eastAsia="FangSong_GB2312"/>
          <w:sz w:val="32"/>
          <w:szCs w:val="32"/>
        </w:rPr>
        <w:t>紧紧围绕</w:t>
      </w:r>
      <w:r>
        <w:rPr>
          <w:rFonts w:ascii="FangSong_GB2312" w:eastAsia="FangSong_GB2312" w:hAnsi="FangSong_GB2312" w:cs="FangSong_GB2312" w:hint="eastAsia"/>
          <w:sz w:val="32"/>
          <w:szCs w:val="32"/>
        </w:rPr>
        <w:t>“三区一中心”战</w:t>
      </w:r>
      <w:r>
        <w:rPr>
          <w:rFonts w:eastAsia="FangSong_GB2312"/>
          <w:sz w:val="32"/>
          <w:szCs w:val="32"/>
        </w:rPr>
        <w:t>略定位、海南自由贸易港封关运作、</w:t>
      </w:r>
      <w:r>
        <w:rPr>
          <w:rFonts w:ascii="FangSong_GB2312" w:eastAsia="FangSong_GB2312" w:hAnsi="FangSong_GB2312" w:cs="FangSong_GB2312" w:hint="eastAsia"/>
          <w:sz w:val="32"/>
          <w:szCs w:val="32"/>
        </w:rPr>
        <w:t>“一带一路”</w:t>
      </w:r>
      <w:r>
        <w:rPr>
          <w:rFonts w:eastAsia="FangSong_GB2312"/>
          <w:sz w:val="32"/>
          <w:szCs w:val="32"/>
        </w:rPr>
        <w:t>倡议、交通强国战略等，把握建设西部陆海新通道、发展低空经济等重大战略机遇，聚焦国家综合立体交通网构建要求，服务和保障国家重大战略实施。</w:t>
      </w:r>
    </w:p>
    <w:p w14:paraId="65BDE64C" w14:textId="77777777" w:rsidR="00000000" w:rsidRDefault="00000000">
      <w:pPr>
        <w:spacing w:line="600" w:lineRule="exact"/>
        <w:ind w:firstLineChars="200" w:firstLine="651"/>
        <w:rPr>
          <w:rFonts w:eastAsia="FangSong_GB2312" w:hint="eastAsia"/>
          <w:sz w:val="32"/>
          <w:szCs w:val="32"/>
        </w:rPr>
      </w:pPr>
      <w:r>
        <w:rPr>
          <w:rFonts w:eastAsia="FangSong_GB2312"/>
          <w:b/>
          <w:bCs/>
          <w:sz w:val="32"/>
          <w:szCs w:val="32"/>
        </w:rPr>
        <w:t>坚持系统集成。</w:t>
      </w:r>
      <w:r>
        <w:rPr>
          <w:rFonts w:eastAsia="FangSong_GB2312" w:cs="Times New Roman" w:hint="eastAsia"/>
          <w:sz w:val="32"/>
          <w:szCs w:val="32"/>
        </w:rPr>
        <w:t>统</w:t>
      </w:r>
      <w:r>
        <w:rPr>
          <w:rFonts w:eastAsia="FangSong_GB2312" w:hint="eastAsia"/>
          <w:sz w:val="32"/>
          <w:szCs w:val="32"/>
        </w:rPr>
        <w:t>筹推进交通枢纽建设、对外通道拓展以及岛内交通网络优化，系统提升自由贸易港人流、物流、资金流的转换效率，打造一体协同、高效衔接、安全可靠、结构优化的进出岛综合交通运输体系，促进货运降本提质增效。</w:t>
      </w:r>
    </w:p>
    <w:p w14:paraId="4138ED3E" w14:textId="77777777" w:rsidR="00000000" w:rsidRDefault="00000000">
      <w:pPr>
        <w:spacing w:line="600" w:lineRule="exact"/>
        <w:ind w:firstLineChars="200" w:firstLine="651"/>
        <w:rPr>
          <w:rFonts w:eastAsia="FangSong_GB2312"/>
          <w:sz w:val="32"/>
          <w:szCs w:val="32"/>
        </w:rPr>
      </w:pPr>
      <w:r>
        <w:rPr>
          <w:rFonts w:eastAsia="FangSong_GB2312"/>
          <w:b/>
          <w:bCs/>
          <w:sz w:val="32"/>
          <w:szCs w:val="32"/>
        </w:rPr>
        <w:t>坚持服务为本。</w:t>
      </w:r>
      <w:r>
        <w:rPr>
          <w:rFonts w:eastAsia="FangSong_GB2312"/>
          <w:sz w:val="32"/>
          <w:szCs w:val="32"/>
        </w:rPr>
        <w:t>紧扣全岛封关运作与国际化运输服务需求，强化通关便利化支撑，健全客货多式联运服务衔接机制，适配国际旅游等特色场景，构建多元化、一体化交通服务体系，支撑国际旅游消费中心发展，实现人员进出、运输来往自由便利。</w:t>
      </w:r>
    </w:p>
    <w:p w14:paraId="3FF23220" w14:textId="77777777" w:rsidR="00000000" w:rsidRDefault="00000000">
      <w:pPr>
        <w:spacing w:line="600" w:lineRule="exact"/>
        <w:ind w:firstLineChars="200" w:firstLine="651"/>
        <w:rPr>
          <w:rFonts w:eastAsia="FangSong_GB2312"/>
          <w:sz w:val="32"/>
          <w:szCs w:val="32"/>
        </w:rPr>
      </w:pPr>
      <w:r>
        <w:rPr>
          <w:rFonts w:eastAsia="FangSong_GB2312"/>
          <w:b/>
          <w:bCs/>
          <w:sz w:val="32"/>
          <w:szCs w:val="32"/>
        </w:rPr>
        <w:t>坚持开放融合。</w:t>
      </w:r>
      <w:r>
        <w:rPr>
          <w:rFonts w:eastAsia="FangSong_GB2312"/>
          <w:sz w:val="32"/>
          <w:szCs w:val="32"/>
        </w:rPr>
        <w:t>服务</w:t>
      </w:r>
      <w:r>
        <w:rPr>
          <w:rFonts w:ascii="FangSong_GB2312" w:eastAsia="FangSong_GB2312" w:hAnsi="FangSong_GB2312" w:cs="FangSong_GB2312" w:hint="eastAsia"/>
          <w:sz w:val="32"/>
          <w:szCs w:val="32"/>
        </w:rPr>
        <w:t>“一线放开、二线管住、岛内自由”</w:t>
      </w:r>
      <w:r>
        <w:rPr>
          <w:rFonts w:eastAsia="FangSong_GB2312"/>
          <w:sz w:val="32"/>
          <w:szCs w:val="32"/>
        </w:rPr>
        <w:t>，践行绿色理念，突出智慧赋能，构建开放共享的交通运输体系。以数字化技术驱动交通基础设施升级与运营模式创新，推动交</w:t>
      </w:r>
      <w:r>
        <w:rPr>
          <w:rFonts w:eastAsia="FangSong_GB2312"/>
          <w:sz w:val="32"/>
          <w:szCs w:val="32"/>
        </w:rPr>
        <w:lastRenderedPageBreak/>
        <w:t>通基础设施与重点产业联动赋能，打造</w:t>
      </w:r>
      <w:r>
        <w:rPr>
          <w:rFonts w:ascii="FangSong_GB2312" w:eastAsia="FangSong_GB2312" w:hAnsi="FangSong_GB2312" w:cs="FangSong_GB2312" w:hint="eastAsia"/>
          <w:sz w:val="32"/>
          <w:szCs w:val="32"/>
        </w:rPr>
        <w:t>“交通+”</w:t>
      </w:r>
      <w:r>
        <w:rPr>
          <w:rFonts w:eastAsia="FangSong_GB2312"/>
          <w:sz w:val="32"/>
          <w:szCs w:val="32"/>
        </w:rPr>
        <w:t>融合发展生态。</w:t>
      </w:r>
    </w:p>
    <w:p w14:paraId="4979BDDB" w14:textId="77777777" w:rsidR="00000000" w:rsidRDefault="00000000">
      <w:pPr>
        <w:widowControl/>
        <w:spacing w:line="604" w:lineRule="exact"/>
        <w:ind w:firstLineChars="200" w:firstLine="651"/>
        <w:rPr>
          <w:rFonts w:eastAsia="FangSong_GB2312" w:cs="Times New Roman"/>
          <w:sz w:val="32"/>
          <w:szCs w:val="32"/>
        </w:rPr>
      </w:pPr>
      <w:r>
        <w:rPr>
          <w:rFonts w:eastAsia="FangSong_GB2312"/>
          <w:b/>
          <w:bCs/>
          <w:sz w:val="32"/>
          <w:szCs w:val="32"/>
        </w:rPr>
        <w:t>坚持改革创新。</w:t>
      </w:r>
      <w:r>
        <w:rPr>
          <w:rFonts w:eastAsia="FangSong_GB2312"/>
          <w:sz w:val="32"/>
          <w:szCs w:val="32"/>
        </w:rPr>
        <w:t>以全面深化改革开放为牵引，深化交通投资、建设、运营等重点领域改革。建立统一开放的交通运输市场，健全公平有序的市场环境，激发交通运输高质量发展活力，形成适应全岛封关运作的综合交通运输发展机制。</w:t>
      </w:r>
    </w:p>
    <w:p w14:paraId="5E75584B" w14:textId="77777777" w:rsidR="00000000" w:rsidRDefault="00000000">
      <w:pPr>
        <w:keepNext/>
        <w:keepLines/>
        <w:spacing w:beforeLines="30" w:before="173" w:afterLines="30" w:after="173" w:line="600" w:lineRule="exact"/>
        <w:jc w:val="center"/>
        <w:outlineLvl w:val="1"/>
        <w:rPr>
          <w:rFonts w:eastAsia="KaiTi_GB2312" w:cs="KaiTi_GB2312" w:hint="eastAsia"/>
          <w:sz w:val="32"/>
          <w:szCs w:val="32"/>
        </w:rPr>
      </w:pPr>
      <w:bookmarkStart w:id="39" w:name="_Toc9911"/>
      <w:bookmarkStart w:id="40" w:name="_Toc783986235"/>
      <w:bookmarkStart w:id="41" w:name="_Toc1897923676"/>
      <w:bookmarkStart w:id="42" w:name="_Toc640399903"/>
      <w:bookmarkStart w:id="43" w:name="_Toc1052557201"/>
      <w:bookmarkStart w:id="44" w:name="_Toc1324137881"/>
      <w:bookmarkStart w:id="45" w:name="_Toc2145622378"/>
      <w:bookmarkStart w:id="46" w:name="_Toc2268"/>
      <w:r>
        <w:rPr>
          <w:rFonts w:eastAsia="KaiTi_GB2312" w:cs="KaiTi_GB2312" w:hint="eastAsia"/>
          <w:sz w:val="32"/>
          <w:szCs w:val="32"/>
        </w:rPr>
        <w:t>第四节</w:t>
      </w:r>
      <w:r>
        <w:rPr>
          <w:rFonts w:eastAsia="KaiTi_GB2312" w:cs="KaiTi_GB2312" w:hint="eastAsia"/>
          <w:sz w:val="32"/>
          <w:szCs w:val="32"/>
        </w:rPr>
        <w:t xml:space="preserve"> </w:t>
      </w:r>
      <w:r>
        <w:rPr>
          <w:rFonts w:eastAsia="KaiTi_GB2312" w:cs="KaiTi_GB2312" w:hint="eastAsia"/>
          <w:sz w:val="32"/>
          <w:szCs w:val="32"/>
        </w:rPr>
        <w:t>发展目标</w:t>
      </w:r>
      <w:bookmarkEnd w:id="39"/>
      <w:bookmarkEnd w:id="40"/>
      <w:bookmarkEnd w:id="41"/>
      <w:bookmarkEnd w:id="42"/>
      <w:bookmarkEnd w:id="43"/>
      <w:bookmarkEnd w:id="44"/>
      <w:bookmarkEnd w:id="45"/>
      <w:bookmarkEnd w:id="46"/>
    </w:p>
    <w:p w14:paraId="56C91800" w14:textId="77777777" w:rsidR="00000000" w:rsidRDefault="00000000">
      <w:pPr>
        <w:spacing w:line="600" w:lineRule="exact"/>
        <w:ind w:firstLineChars="200" w:firstLine="651"/>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到2030年，对外综合运输通道畅达，岛内综合交通网络更加顺畅，综合运输服务一体高效，打造交通强国建设海南样板，推动实现交通现代化，基本建成立足海南、服务全国、面向“两洋”、联通世界的现代化综合交通运输体系，有效支撑构建国内国际双循环战略交汇点。</w:t>
      </w:r>
    </w:p>
    <w:p w14:paraId="7BAAA145" w14:textId="77777777" w:rsidR="00000000" w:rsidRDefault="00000000">
      <w:pPr>
        <w:spacing w:line="600" w:lineRule="exact"/>
        <w:ind w:firstLineChars="200" w:firstLine="651"/>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枢纽能级达到新高度。</w:t>
      </w:r>
      <w:r>
        <w:rPr>
          <w:rFonts w:ascii="FangSong_GB2312" w:eastAsia="FangSong_GB2312" w:hAnsi="FangSong_GB2312" w:cs="FangSong_GB2312" w:hint="eastAsia"/>
          <w:sz w:val="32"/>
          <w:szCs w:val="32"/>
        </w:rPr>
        <w:t>面向太平洋、印度洋的航空区域门户枢纽作用强势凸显，全省运输机场旅客保障能力达7260万人次；西部陆海新通道国际航运枢纽能级不断提升，全省万吨级及以上泊位数达110个，综合通过能力3.6亿吨，海南港口集装箱吞吐量向千万级迈进。</w:t>
      </w:r>
    </w:p>
    <w:p w14:paraId="5BF9DC23" w14:textId="77777777" w:rsidR="00000000" w:rsidRDefault="00000000">
      <w:pPr>
        <w:spacing w:line="600" w:lineRule="exact"/>
        <w:ind w:firstLineChars="200" w:firstLine="651"/>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rPr>
        <w:t>通道规模实现新拓展。</w:t>
      </w:r>
      <w:r>
        <w:rPr>
          <w:rFonts w:ascii="FangSong_GB2312" w:eastAsia="FangSong_GB2312" w:hAnsi="FangSong_GB2312" w:cs="FangSong_GB2312" w:hint="eastAsia"/>
          <w:sz w:val="32"/>
          <w:szCs w:val="32"/>
        </w:rPr>
        <w:t>航空通航城市200个，其中国际（地区）城市不少于55个；稳定运行集装箱班轮航线数量100条，其中外贸航线46条；加快进出岛客滚新航线和两岸码头选址，开辟跨琼州海峡低空出岛航路，打造琼州海峡“黄金水道”。</w:t>
      </w:r>
    </w:p>
    <w:p w14:paraId="1B7EFF29" w14:textId="77777777" w:rsidR="00000000" w:rsidRDefault="00000000">
      <w:pPr>
        <w:spacing w:line="590" w:lineRule="exact"/>
        <w:ind w:firstLineChars="200" w:firstLine="651"/>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lastRenderedPageBreak/>
        <w:t>网络质量迈上新台阶。</w:t>
      </w:r>
      <w:r>
        <w:rPr>
          <w:rFonts w:ascii="FangSong_GB2312" w:eastAsia="FangSong_GB2312" w:hAnsi="FangSong_GB2312" w:cs="FangSong_GB2312" w:hint="eastAsia"/>
          <w:sz w:val="32"/>
          <w:szCs w:val="32"/>
        </w:rPr>
        <w:t>全省综合交通线网总里程达到4.41万公里，其中公路4.3万公里，铁路1100公里；岛内枢纽港站集疏运体系进一步完善，实现铁路与枢纽机场、公路、港口、园区等高效衔接。新增低空公共航路达到200公里。</w:t>
      </w:r>
    </w:p>
    <w:p w14:paraId="720F9691" w14:textId="77777777" w:rsidR="00000000" w:rsidRDefault="00000000">
      <w:pPr>
        <w:spacing w:line="600" w:lineRule="exact"/>
        <w:ind w:firstLineChars="200" w:firstLine="651"/>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服务品质完成新跨越。</w:t>
      </w:r>
      <w:r>
        <w:rPr>
          <w:rFonts w:ascii="FangSong_GB2312" w:eastAsia="FangSong_GB2312" w:hAnsi="FangSong_GB2312" w:cs="FangSong_GB2312" w:hint="eastAsia"/>
          <w:sz w:val="32"/>
          <w:szCs w:val="32"/>
        </w:rPr>
        <w:t>公众出行服务更加舒适便捷，初步实现“海南1234出行交通圈”。枢纽机场旅客中转率达到全国前列，铁路公交化运营服务覆盖范围继续拓展。物流运行效率大幅提升，货物多式联运快速发展。基础设施数字化转型步伐加快，绿色低碳转型取得重大进展，交通安全水平、系统发展韧性和应对各类重大风险能力显著提升。</w:t>
      </w:r>
    </w:p>
    <w:p w14:paraId="5B102E3D" w14:textId="77777777" w:rsidR="00000000" w:rsidRDefault="00000000">
      <w:pPr>
        <w:spacing w:line="600" w:lineRule="exact"/>
        <w:ind w:firstLineChars="200" w:firstLine="651"/>
        <w:rPr>
          <w:rFonts w:eastAsia="FangSong_GB2312"/>
          <w:sz w:val="32"/>
          <w:szCs w:val="32"/>
        </w:rPr>
      </w:pPr>
      <w:r>
        <w:rPr>
          <w:rFonts w:ascii="FangSong_GB2312" w:eastAsia="FangSong_GB2312" w:hAnsi="FangSong_GB2312" w:cs="FangSong_GB2312" w:hint="eastAsia"/>
          <w:b/>
          <w:bCs/>
          <w:sz w:val="32"/>
          <w:szCs w:val="32"/>
        </w:rPr>
        <w:t>改革创新取得新突破。</w:t>
      </w:r>
      <w:r>
        <w:rPr>
          <w:rFonts w:ascii="FangSong_GB2312" w:eastAsia="FangSong_GB2312" w:hAnsi="FangSong_GB2312" w:cs="FangSong_GB2312" w:hint="eastAsia"/>
          <w:sz w:val="32"/>
          <w:szCs w:val="32"/>
        </w:rPr>
        <w:t>重大领域和关键环节改革取得积极进展，统一开放、竞争有序的交通运输市场初步建立，投融资体制改革、铁路市场化运营、公路可持续发展机制、海运及民航等领域制度创新实现重大突破，适应“自由便利”要求的综合交通运输发展新机制基本构建。</w:t>
      </w:r>
    </w:p>
    <w:p w14:paraId="16CAB3DA" w14:textId="77777777" w:rsidR="00000000" w:rsidRDefault="00000000">
      <w:pPr>
        <w:spacing w:line="600" w:lineRule="exact"/>
        <w:ind w:firstLineChars="200" w:firstLine="651"/>
        <w:rPr>
          <w:rFonts w:eastAsia="FangSong_GB2312" w:cs="Times New Roman"/>
          <w:sz w:val="32"/>
          <w:szCs w:val="32"/>
        </w:rPr>
        <w:sectPr w:rsidR="00000000">
          <w:footerReference w:type="default" r:id="rId8"/>
          <w:pgSz w:w="11906" w:h="16838"/>
          <w:pgMar w:top="1644" w:right="1531" w:bottom="1644" w:left="1531" w:header="0" w:footer="1191" w:gutter="0"/>
          <w:pgNumType w:start="1"/>
          <w:cols w:space="720"/>
          <w:docGrid w:type="linesAndChars" w:linePitch="579" w:charSpace="1168"/>
        </w:sectPr>
      </w:pPr>
    </w:p>
    <w:tbl>
      <w:tblPr>
        <w:tblW w:w="9288" w:type="dxa"/>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49"/>
        <w:gridCol w:w="889"/>
        <w:gridCol w:w="747"/>
        <w:gridCol w:w="3506"/>
        <w:gridCol w:w="1137"/>
        <w:gridCol w:w="1155"/>
        <w:gridCol w:w="1105"/>
      </w:tblGrid>
      <w:tr w:rsidR="00000000" w14:paraId="51530D17" w14:textId="77777777">
        <w:trPr>
          <w:trHeight w:val="695"/>
          <w:jc w:val="center"/>
        </w:trPr>
        <w:tc>
          <w:tcPr>
            <w:tcW w:w="9288" w:type="dxa"/>
            <w:gridSpan w:val="7"/>
            <w:vAlign w:val="center"/>
          </w:tcPr>
          <w:p w14:paraId="796275ED" w14:textId="77777777" w:rsidR="00000000" w:rsidRDefault="00000000">
            <w:pPr>
              <w:spacing w:line="340" w:lineRule="exact"/>
              <w:jc w:val="center"/>
              <w:rPr>
                <w:rFonts w:eastAsia="SimHei" w:cs="SimHei" w:hint="eastAsia"/>
                <w:sz w:val="24"/>
                <w:szCs w:val="24"/>
              </w:rPr>
            </w:pPr>
            <w:bookmarkStart w:id="47" w:name="_Toc10554"/>
            <w:bookmarkStart w:id="48" w:name="_Toc1370"/>
            <w:r>
              <w:rPr>
                <w:rFonts w:ascii="SimHei" w:eastAsia="SimHei" w:hAnsi="SimHei" w:cs="SimHei" w:hint="eastAsia"/>
                <w:sz w:val="32"/>
                <w:szCs w:val="32"/>
              </w:rPr>
              <w:t>专栏1  海南省“十五五”综合交通运输规划主要指标</w:t>
            </w:r>
          </w:p>
        </w:tc>
      </w:tr>
      <w:tr w:rsidR="00000000" w14:paraId="26970E9F" w14:textId="77777777">
        <w:trPr>
          <w:trHeight w:val="691"/>
          <w:jc w:val="center"/>
        </w:trPr>
        <w:tc>
          <w:tcPr>
            <w:tcW w:w="749" w:type="dxa"/>
            <w:vAlign w:val="center"/>
          </w:tcPr>
          <w:p w14:paraId="7A2A1F44" w14:textId="77777777" w:rsidR="00000000" w:rsidRDefault="00000000">
            <w:pPr>
              <w:spacing w:line="340" w:lineRule="exact"/>
              <w:jc w:val="center"/>
              <w:rPr>
                <w:rFonts w:eastAsia="SimHei" w:cs="SimHei" w:hint="eastAsia"/>
                <w:sz w:val="24"/>
                <w:szCs w:val="24"/>
              </w:rPr>
            </w:pPr>
            <w:r>
              <w:rPr>
                <w:rFonts w:eastAsia="SimHei" w:cs="SimHei" w:hint="eastAsia"/>
                <w:sz w:val="24"/>
                <w:szCs w:val="24"/>
              </w:rPr>
              <w:t>序号</w:t>
            </w:r>
          </w:p>
        </w:tc>
        <w:tc>
          <w:tcPr>
            <w:tcW w:w="889" w:type="dxa"/>
            <w:vAlign w:val="center"/>
          </w:tcPr>
          <w:p w14:paraId="3CFE73D5" w14:textId="77777777" w:rsidR="00000000" w:rsidRDefault="00000000">
            <w:pPr>
              <w:spacing w:line="340" w:lineRule="exact"/>
              <w:jc w:val="center"/>
              <w:rPr>
                <w:rFonts w:eastAsia="SimHei" w:cs="SimHei" w:hint="eastAsia"/>
                <w:sz w:val="24"/>
                <w:szCs w:val="24"/>
              </w:rPr>
            </w:pPr>
            <w:r>
              <w:rPr>
                <w:rFonts w:eastAsia="SimHei" w:cs="SimHei" w:hint="eastAsia"/>
                <w:sz w:val="24"/>
                <w:szCs w:val="24"/>
              </w:rPr>
              <w:t>类别</w:t>
            </w:r>
          </w:p>
        </w:tc>
        <w:tc>
          <w:tcPr>
            <w:tcW w:w="4253" w:type="dxa"/>
            <w:gridSpan w:val="2"/>
            <w:vAlign w:val="center"/>
          </w:tcPr>
          <w:p w14:paraId="08AE7D3C" w14:textId="77777777" w:rsidR="00000000" w:rsidRDefault="00000000">
            <w:pPr>
              <w:spacing w:line="340" w:lineRule="exact"/>
              <w:jc w:val="center"/>
              <w:rPr>
                <w:rFonts w:eastAsia="SimHei" w:cs="SimHei" w:hint="eastAsia"/>
                <w:sz w:val="24"/>
                <w:szCs w:val="24"/>
              </w:rPr>
            </w:pPr>
            <w:r>
              <w:rPr>
                <w:rFonts w:eastAsia="SimHei" w:cs="SimHei" w:hint="eastAsia"/>
                <w:sz w:val="24"/>
                <w:szCs w:val="24"/>
              </w:rPr>
              <w:t>指标</w:t>
            </w:r>
          </w:p>
        </w:tc>
        <w:tc>
          <w:tcPr>
            <w:tcW w:w="1137" w:type="dxa"/>
            <w:vAlign w:val="center"/>
          </w:tcPr>
          <w:p w14:paraId="29072BE2" w14:textId="77777777" w:rsidR="00000000" w:rsidRDefault="00000000">
            <w:pPr>
              <w:spacing w:line="340" w:lineRule="exact"/>
              <w:jc w:val="center"/>
              <w:rPr>
                <w:rFonts w:eastAsia="SimHei" w:cs="SimHei" w:hint="eastAsia"/>
                <w:sz w:val="24"/>
                <w:szCs w:val="24"/>
              </w:rPr>
            </w:pPr>
            <w:r>
              <w:rPr>
                <w:rFonts w:eastAsia="SimHei" w:cs="SimHei" w:hint="eastAsia"/>
                <w:sz w:val="24"/>
                <w:szCs w:val="24"/>
              </w:rPr>
              <w:t>2025</w:t>
            </w:r>
            <w:r>
              <w:rPr>
                <w:rFonts w:eastAsia="SimHei" w:cs="SimHei" w:hint="eastAsia"/>
                <w:sz w:val="24"/>
                <w:szCs w:val="24"/>
              </w:rPr>
              <w:t>年</w:t>
            </w:r>
          </w:p>
        </w:tc>
        <w:tc>
          <w:tcPr>
            <w:tcW w:w="1155" w:type="dxa"/>
            <w:vAlign w:val="center"/>
          </w:tcPr>
          <w:p w14:paraId="132B42B7" w14:textId="77777777" w:rsidR="00000000" w:rsidRDefault="00000000">
            <w:pPr>
              <w:spacing w:line="340" w:lineRule="exact"/>
              <w:jc w:val="center"/>
              <w:rPr>
                <w:rFonts w:eastAsia="SimHei" w:cs="SimHei" w:hint="eastAsia"/>
                <w:sz w:val="24"/>
                <w:szCs w:val="24"/>
              </w:rPr>
            </w:pPr>
            <w:r>
              <w:rPr>
                <w:rFonts w:eastAsia="SimHei" w:cs="SimHei" w:hint="eastAsia"/>
                <w:sz w:val="24"/>
                <w:szCs w:val="24"/>
              </w:rPr>
              <w:t>2030</w:t>
            </w:r>
            <w:r>
              <w:rPr>
                <w:rFonts w:eastAsia="SimHei" w:cs="SimHei" w:hint="eastAsia"/>
                <w:sz w:val="24"/>
                <w:szCs w:val="24"/>
              </w:rPr>
              <w:t>年</w:t>
            </w:r>
          </w:p>
        </w:tc>
        <w:tc>
          <w:tcPr>
            <w:tcW w:w="1105" w:type="dxa"/>
            <w:vAlign w:val="center"/>
          </w:tcPr>
          <w:p w14:paraId="7DAB1023" w14:textId="77777777" w:rsidR="00000000" w:rsidRDefault="00000000">
            <w:pPr>
              <w:spacing w:line="340" w:lineRule="exact"/>
              <w:jc w:val="center"/>
              <w:rPr>
                <w:rFonts w:eastAsia="SimHei" w:cs="SimHei" w:hint="eastAsia"/>
                <w:sz w:val="24"/>
                <w:szCs w:val="24"/>
              </w:rPr>
            </w:pPr>
            <w:r>
              <w:rPr>
                <w:rFonts w:eastAsia="SimHei" w:cs="SimHei" w:hint="eastAsia"/>
                <w:sz w:val="24"/>
                <w:szCs w:val="24"/>
              </w:rPr>
              <w:t>属性</w:t>
            </w:r>
          </w:p>
        </w:tc>
      </w:tr>
      <w:tr w:rsidR="00000000" w14:paraId="0944F826" w14:textId="77777777">
        <w:trPr>
          <w:trHeight w:val="742"/>
          <w:jc w:val="center"/>
        </w:trPr>
        <w:tc>
          <w:tcPr>
            <w:tcW w:w="749" w:type="dxa"/>
            <w:vAlign w:val="center"/>
          </w:tcPr>
          <w:p w14:paraId="0C189FA3"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w:t>
            </w:r>
          </w:p>
        </w:tc>
        <w:tc>
          <w:tcPr>
            <w:tcW w:w="889" w:type="dxa"/>
            <w:vAlign w:val="center"/>
          </w:tcPr>
          <w:p w14:paraId="27B0FAB2"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综合发展</w:t>
            </w:r>
          </w:p>
        </w:tc>
        <w:tc>
          <w:tcPr>
            <w:tcW w:w="4253" w:type="dxa"/>
            <w:gridSpan w:val="2"/>
            <w:vAlign w:val="center"/>
          </w:tcPr>
          <w:p w14:paraId="4B8E4745" w14:textId="77777777" w:rsidR="00000000" w:rsidRDefault="00000000">
            <w:pPr>
              <w:spacing w:line="340" w:lineRule="exact"/>
              <w:jc w:val="center"/>
              <w:rPr>
                <w:rFonts w:eastAsia="FangSong_GB2312" w:cs="FangSong_GB2312"/>
                <w:sz w:val="24"/>
                <w:szCs w:val="24"/>
              </w:rPr>
            </w:pPr>
            <w:r>
              <w:rPr>
                <w:rFonts w:eastAsia="FangSong_GB2312" w:cs="FangSong_GB2312" w:hint="eastAsia"/>
                <w:sz w:val="24"/>
                <w:szCs w:val="24"/>
              </w:rPr>
              <w:t>全省交通基础设施建设投资（亿元）</w:t>
            </w:r>
            <w:r>
              <w:rPr>
                <w:rFonts w:eastAsia="FangSong_GB2312" w:cs="FangSong_GB2312" w:hint="eastAsia"/>
                <w:sz w:val="24"/>
                <w:szCs w:val="24"/>
              </w:rPr>
              <w:t xml:space="preserve"> </w:t>
            </w:r>
          </w:p>
        </w:tc>
        <w:tc>
          <w:tcPr>
            <w:tcW w:w="1137" w:type="dxa"/>
            <w:vAlign w:val="center"/>
          </w:tcPr>
          <w:p w14:paraId="2C50FC48" w14:textId="77777777" w:rsidR="00000000" w:rsidRDefault="00000000">
            <w:pPr>
              <w:spacing w:line="340" w:lineRule="exact"/>
              <w:jc w:val="center"/>
              <w:rPr>
                <w:rFonts w:eastAsia="FangSong_GB2312" w:cs="FangSong_GB2312" w:hint="eastAsia"/>
                <w:szCs w:val="21"/>
              </w:rPr>
            </w:pPr>
            <w:r>
              <w:rPr>
                <w:rFonts w:ascii="FangSong_GB2312" w:eastAsia="FangSong_GB2312" w:hAnsi="FangSong_GB2312" w:cs="FangSong_GB2312" w:hint="eastAsia"/>
                <w:sz w:val="24"/>
                <w:szCs w:val="24"/>
              </w:rPr>
              <w:t>〔</w:t>
            </w:r>
            <w:r>
              <w:rPr>
                <w:rFonts w:eastAsia="FangSong_GB2312" w:cs="FangSong_GB2312" w:hint="eastAsia"/>
                <w:sz w:val="24"/>
                <w:szCs w:val="24"/>
              </w:rPr>
              <w:t>1100</w:t>
            </w:r>
            <w:r>
              <w:rPr>
                <w:rFonts w:ascii="FangSong_GB2312" w:eastAsia="FangSong_GB2312" w:hAnsi="FangSong_GB2312" w:cs="FangSong_GB2312" w:hint="eastAsia"/>
                <w:sz w:val="24"/>
                <w:szCs w:val="24"/>
              </w:rPr>
              <w:t>〕</w:t>
            </w:r>
          </w:p>
        </w:tc>
        <w:tc>
          <w:tcPr>
            <w:tcW w:w="1155" w:type="dxa"/>
            <w:vAlign w:val="center"/>
          </w:tcPr>
          <w:p w14:paraId="39EB244F" w14:textId="77777777" w:rsidR="00000000" w:rsidRDefault="00000000">
            <w:pPr>
              <w:spacing w:line="340" w:lineRule="exact"/>
              <w:jc w:val="center"/>
              <w:rPr>
                <w:rFonts w:eastAsia="FangSong_GB2312" w:cs="FangSong_GB2312" w:hint="eastAsia"/>
                <w:szCs w:val="21"/>
              </w:rPr>
            </w:pPr>
            <w:r>
              <w:rPr>
                <w:rFonts w:ascii="FangSong_GB2312" w:eastAsia="FangSong_GB2312" w:hAnsi="FangSong_GB2312" w:cs="FangSong_GB2312" w:hint="eastAsia"/>
                <w:sz w:val="24"/>
                <w:szCs w:val="24"/>
              </w:rPr>
              <w:t>〔</w:t>
            </w:r>
            <w:r>
              <w:rPr>
                <w:rFonts w:eastAsia="FangSong_GB2312" w:cs="FangSong_GB2312" w:hint="eastAsia"/>
                <w:sz w:val="24"/>
                <w:szCs w:val="24"/>
              </w:rPr>
              <w:t>1700</w:t>
            </w:r>
            <w:r>
              <w:rPr>
                <w:rFonts w:ascii="FangSong_GB2312" w:eastAsia="FangSong_GB2312" w:hAnsi="FangSong_GB2312" w:cs="FangSong_GB2312" w:hint="eastAsia"/>
                <w:sz w:val="24"/>
                <w:szCs w:val="24"/>
              </w:rPr>
              <w:t>〕</w:t>
            </w:r>
          </w:p>
        </w:tc>
        <w:tc>
          <w:tcPr>
            <w:tcW w:w="1105" w:type="dxa"/>
            <w:vAlign w:val="center"/>
          </w:tcPr>
          <w:p w14:paraId="0CDCAF7D" w14:textId="77777777" w:rsidR="00000000" w:rsidRDefault="00000000">
            <w:pPr>
              <w:spacing w:line="340" w:lineRule="exact"/>
              <w:jc w:val="center"/>
              <w:rPr>
                <w:rFonts w:eastAsia="FangSong_GB2312" w:cs="FangSong_GB2312" w:hint="eastAsia"/>
                <w:szCs w:val="21"/>
              </w:rPr>
            </w:pPr>
            <w:r>
              <w:rPr>
                <w:rFonts w:eastAsia="FangSong_GB2312" w:cs="FangSong_GB2312" w:hint="eastAsia"/>
                <w:sz w:val="24"/>
                <w:szCs w:val="24"/>
              </w:rPr>
              <w:t>预期性</w:t>
            </w:r>
          </w:p>
        </w:tc>
      </w:tr>
      <w:tr w:rsidR="00000000" w14:paraId="04FEFBEB" w14:textId="77777777">
        <w:trPr>
          <w:trHeight w:val="597"/>
          <w:jc w:val="center"/>
        </w:trPr>
        <w:tc>
          <w:tcPr>
            <w:tcW w:w="749" w:type="dxa"/>
            <w:vAlign w:val="center"/>
          </w:tcPr>
          <w:p w14:paraId="35F083F3"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2</w:t>
            </w:r>
          </w:p>
        </w:tc>
        <w:tc>
          <w:tcPr>
            <w:tcW w:w="889" w:type="dxa"/>
            <w:vMerge w:val="restart"/>
            <w:vAlign w:val="center"/>
          </w:tcPr>
          <w:p w14:paraId="6702D951"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枢纽能级</w:t>
            </w:r>
          </w:p>
        </w:tc>
        <w:tc>
          <w:tcPr>
            <w:tcW w:w="4253" w:type="dxa"/>
            <w:gridSpan w:val="2"/>
            <w:vAlign w:val="center"/>
          </w:tcPr>
          <w:p w14:paraId="7357E2AC"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全省运输机场旅客保障能力（万人次）</w:t>
            </w:r>
          </w:p>
        </w:tc>
        <w:tc>
          <w:tcPr>
            <w:tcW w:w="1137" w:type="dxa"/>
            <w:vAlign w:val="center"/>
          </w:tcPr>
          <w:p w14:paraId="0D9FD00E"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6800</w:t>
            </w:r>
          </w:p>
        </w:tc>
        <w:tc>
          <w:tcPr>
            <w:tcW w:w="1155" w:type="dxa"/>
            <w:vAlign w:val="center"/>
          </w:tcPr>
          <w:p w14:paraId="46FD6E65"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7260</w:t>
            </w:r>
          </w:p>
        </w:tc>
        <w:tc>
          <w:tcPr>
            <w:tcW w:w="1105" w:type="dxa"/>
            <w:vAlign w:val="center"/>
          </w:tcPr>
          <w:p w14:paraId="0380F335"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2F79A8D3" w14:textId="77777777">
        <w:trPr>
          <w:trHeight w:val="709"/>
          <w:jc w:val="center"/>
        </w:trPr>
        <w:tc>
          <w:tcPr>
            <w:tcW w:w="749" w:type="dxa"/>
            <w:vAlign w:val="center"/>
          </w:tcPr>
          <w:p w14:paraId="45131AAC"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3</w:t>
            </w:r>
          </w:p>
        </w:tc>
        <w:tc>
          <w:tcPr>
            <w:tcW w:w="889" w:type="dxa"/>
            <w:vMerge/>
            <w:vAlign w:val="center"/>
          </w:tcPr>
          <w:p w14:paraId="08F30A16" w14:textId="77777777" w:rsidR="00000000" w:rsidRDefault="00000000">
            <w:pPr>
              <w:spacing w:line="340" w:lineRule="exact"/>
              <w:jc w:val="center"/>
              <w:rPr>
                <w:rFonts w:eastAsia="FangSong_GB2312" w:cs="FangSong_GB2312" w:hint="eastAsia"/>
                <w:sz w:val="24"/>
                <w:szCs w:val="24"/>
              </w:rPr>
            </w:pPr>
          </w:p>
        </w:tc>
        <w:tc>
          <w:tcPr>
            <w:tcW w:w="747" w:type="dxa"/>
            <w:vMerge w:val="restart"/>
            <w:vAlign w:val="center"/>
          </w:tcPr>
          <w:p w14:paraId="6ED69A0C"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港口</w:t>
            </w:r>
          </w:p>
          <w:p w14:paraId="39E0B712"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能级</w:t>
            </w:r>
          </w:p>
        </w:tc>
        <w:tc>
          <w:tcPr>
            <w:tcW w:w="3506" w:type="dxa"/>
            <w:vAlign w:val="center"/>
          </w:tcPr>
          <w:p w14:paraId="7CDBF8FD"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沿海港口万吨级及以上泊位（个）</w:t>
            </w:r>
          </w:p>
        </w:tc>
        <w:tc>
          <w:tcPr>
            <w:tcW w:w="1137" w:type="dxa"/>
            <w:vAlign w:val="center"/>
          </w:tcPr>
          <w:p w14:paraId="1DEBFEBE"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89</w:t>
            </w:r>
          </w:p>
        </w:tc>
        <w:tc>
          <w:tcPr>
            <w:tcW w:w="1155" w:type="dxa"/>
            <w:vAlign w:val="center"/>
          </w:tcPr>
          <w:p w14:paraId="01988A2E"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110</w:t>
            </w:r>
          </w:p>
        </w:tc>
        <w:tc>
          <w:tcPr>
            <w:tcW w:w="1105" w:type="dxa"/>
            <w:vAlign w:val="center"/>
          </w:tcPr>
          <w:p w14:paraId="53F9C14E"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7499F882" w14:textId="77777777">
        <w:trPr>
          <w:trHeight w:val="611"/>
          <w:jc w:val="center"/>
        </w:trPr>
        <w:tc>
          <w:tcPr>
            <w:tcW w:w="749" w:type="dxa"/>
            <w:vAlign w:val="center"/>
          </w:tcPr>
          <w:p w14:paraId="694E83A3"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4</w:t>
            </w:r>
          </w:p>
        </w:tc>
        <w:tc>
          <w:tcPr>
            <w:tcW w:w="889" w:type="dxa"/>
            <w:vMerge/>
            <w:vAlign w:val="center"/>
          </w:tcPr>
          <w:p w14:paraId="041CEE04" w14:textId="77777777" w:rsidR="00000000" w:rsidRDefault="00000000">
            <w:pPr>
              <w:spacing w:line="340" w:lineRule="exact"/>
              <w:jc w:val="center"/>
              <w:rPr>
                <w:rFonts w:eastAsia="FangSong_GB2312" w:cs="FangSong_GB2312" w:hint="eastAsia"/>
                <w:sz w:val="24"/>
                <w:szCs w:val="24"/>
              </w:rPr>
            </w:pPr>
          </w:p>
        </w:tc>
        <w:tc>
          <w:tcPr>
            <w:tcW w:w="747" w:type="dxa"/>
            <w:vMerge/>
            <w:vAlign w:val="center"/>
          </w:tcPr>
          <w:p w14:paraId="64E3D536" w14:textId="77777777" w:rsidR="00000000" w:rsidRDefault="00000000">
            <w:pPr>
              <w:spacing w:line="340" w:lineRule="exact"/>
              <w:jc w:val="center"/>
              <w:rPr>
                <w:rFonts w:eastAsia="FangSong_GB2312" w:cs="FangSong_GB2312" w:hint="eastAsia"/>
                <w:sz w:val="24"/>
                <w:szCs w:val="24"/>
              </w:rPr>
            </w:pPr>
          </w:p>
        </w:tc>
        <w:tc>
          <w:tcPr>
            <w:tcW w:w="3506" w:type="dxa"/>
            <w:vAlign w:val="center"/>
          </w:tcPr>
          <w:p w14:paraId="13775695"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全省港口综合通过能力（亿吨）</w:t>
            </w:r>
          </w:p>
        </w:tc>
        <w:tc>
          <w:tcPr>
            <w:tcW w:w="1137" w:type="dxa"/>
            <w:vAlign w:val="center"/>
          </w:tcPr>
          <w:p w14:paraId="64413D10"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3.1</w:t>
            </w:r>
          </w:p>
        </w:tc>
        <w:tc>
          <w:tcPr>
            <w:tcW w:w="1155" w:type="dxa"/>
            <w:vAlign w:val="center"/>
          </w:tcPr>
          <w:p w14:paraId="35D06BB9"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3.6</w:t>
            </w:r>
          </w:p>
        </w:tc>
        <w:tc>
          <w:tcPr>
            <w:tcW w:w="1105" w:type="dxa"/>
            <w:vAlign w:val="center"/>
          </w:tcPr>
          <w:p w14:paraId="17C17B0A"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307DDB6B" w14:textId="77777777">
        <w:trPr>
          <w:trHeight w:val="836"/>
          <w:jc w:val="center"/>
        </w:trPr>
        <w:tc>
          <w:tcPr>
            <w:tcW w:w="749" w:type="dxa"/>
            <w:vAlign w:val="center"/>
          </w:tcPr>
          <w:p w14:paraId="51DF972D"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lastRenderedPageBreak/>
              <w:t>5</w:t>
            </w:r>
          </w:p>
        </w:tc>
        <w:tc>
          <w:tcPr>
            <w:tcW w:w="889" w:type="dxa"/>
            <w:vMerge w:val="restart"/>
            <w:vAlign w:val="center"/>
          </w:tcPr>
          <w:p w14:paraId="09B76E3F"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通道规模</w:t>
            </w:r>
          </w:p>
        </w:tc>
        <w:tc>
          <w:tcPr>
            <w:tcW w:w="4253" w:type="dxa"/>
            <w:gridSpan w:val="2"/>
            <w:vAlign w:val="center"/>
          </w:tcPr>
          <w:p w14:paraId="5D0D12A5"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民航通航城市数量（其中国际及地区城市数量）（个）</w:t>
            </w:r>
          </w:p>
        </w:tc>
        <w:tc>
          <w:tcPr>
            <w:tcW w:w="1137" w:type="dxa"/>
            <w:vAlign w:val="center"/>
          </w:tcPr>
          <w:p w14:paraId="599120C7"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181</w:t>
            </w:r>
          </w:p>
          <w:p w14:paraId="2FA34E28"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w:t>
            </w:r>
            <w:r>
              <w:rPr>
                <w:rFonts w:eastAsia="FangSong_GB2312" w:cs="FangSong_GB2312" w:hint="eastAsia"/>
                <w:sz w:val="24"/>
                <w:szCs w:val="24"/>
              </w:rPr>
              <w:t>45</w:t>
            </w:r>
            <w:r>
              <w:rPr>
                <w:rFonts w:eastAsia="FangSong_GB2312" w:cs="FangSong_GB2312" w:hint="eastAsia"/>
                <w:sz w:val="24"/>
                <w:szCs w:val="24"/>
              </w:rPr>
              <w:t>）</w:t>
            </w:r>
          </w:p>
        </w:tc>
        <w:tc>
          <w:tcPr>
            <w:tcW w:w="1155" w:type="dxa"/>
            <w:vAlign w:val="center"/>
          </w:tcPr>
          <w:p w14:paraId="26FA2289"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200</w:t>
            </w:r>
          </w:p>
          <w:p w14:paraId="650B989D" w14:textId="77777777" w:rsidR="00000000" w:rsidRDefault="00000000">
            <w:pPr>
              <w:spacing w:line="340" w:lineRule="exact"/>
              <w:jc w:val="center"/>
              <w:rPr>
                <w:rFonts w:eastAsia="FangSong_GB2312" w:cs="FangSong_GB2312"/>
                <w:sz w:val="24"/>
                <w:szCs w:val="24"/>
              </w:rPr>
            </w:pPr>
            <w:r>
              <w:rPr>
                <w:rFonts w:eastAsia="FangSong_GB2312" w:cs="FangSong_GB2312" w:hint="eastAsia"/>
                <w:sz w:val="24"/>
                <w:szCs w:val="24"/>
              </w:rPr>
              <w:t>（≥</w:t>
            </w:r>
            <w:r>
              <w:rPr>
                <w:rFonts w:eastAsia="FangSong_GB2312" w:cs="FangSong_GB2312" w:hint="eastAsia"/>
                <w:sz w:val="24"/>
                <w:szCs w:val="24"/>
              </w:rPr>
              <w:t>55</w:t>
            </w:r>
            <w:r>
              <w:rPr>
                <w:rFonts w:eastAsia="FangSong_GB2312" w:cs="FangSong_GB2312" w:hint="eastAsia"/>
                <w:sz w:val="24"/>
                <w:szCs w:val="24"/>
              </w:rPr>
              <w:t>）</w:t>
            </w:r>
          </w:p>
        </w:tc>
        <w:tc>
          <w:tcPr>
            <w:tcW w:w="1105" w:type="dxa"/>
            <w:vAlign w:val="center"/>
          </w:tcPr>
          <w:p w14:paraId="08EABDBE"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6FA7ADBB" w14:textId="77777777">
        <w:trPr>
          <w:trHeight w:val="836"/>
          <w:jc w:val="center"/>
        </w:trPr>
        <w:tc>
          <w:tcPr>
            <w:tcW w:w="749" w:type="dxa"/>
            <w:vAlign w:val="center"/>
          </w:tcPr>
          <w:p w14:paraId="675776F4"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6</w:t>
            </w:r>
          </w:p>
        </w:tc>
        <w:tc>
          <w:tcPr>
            <w:tcW w:w="889" w:type="dxa"/>
            <w:vMerge/>
            <w:vAlign w:val="center"/>
          </w:tcPr>
          <w:p w14:paraId="217B5BBD" w14:textId="77777777" w:rsidR="00000000" w:rsidRDefault="00000000">
            <w:pPr>
              <w:spacing w:line="340" w:lineRule="exact"/>
              <w:jc w:val="center"/>
              <w:rPr>
                <w:rFonts w:eastAsia="FangSong_GB2312" w:cs="FangSong_GB2312" w:hint="eastAsia"/>
                <w:sz w:val="24"/>
                <w:szCs w:val="24"/>
              </w:rPr>
            </w:pPr>
          </w:p>
        </w:tc>
        <w:tc>
          <w:tcPr>
            <w:tcW w:w="4253" w:type="dxa"/>
            <w:gridSpan w:val="2"/>
            <w:vAlign w:val="center"/>
          </w:tcPr>
          <w:p w14:paraId="147B271F"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集装箱班轮航线数量（其中国际集装箱班轮航线数量）（条）</w:t>
            </w:r>
          </w:p>
        </w:tc>
        <w:tc>
          <w:tcPr>
            <w:tcW w:w="1137" w:type="dxa"/>
            <w:vAlign w:val="center"/>
          </w:tcPr>
          <w:p w14:paraId="53989259"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75</w:t>
            </w:r>
          </w:p>
          <w:p w14:paraId="1F33421E"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w:t>
            </w:r>
            <w:r>
              <w:rPr>
                <w:rFonts w:eastAsia="FangSong_GB2312" w:cs="FangSong_GB2312" w:hint="eastAsia"/>
                <w:sz w:val="24"/>
                <w:szCs w:val="24"/>
              </w:rPr>
              <w:t>36</w:t>
            </w:r>
            <w:r>
              <w:rPr>
                <w:rFonts w:eastAsia="FangSong_GB2312" w:cs="FangSong_GB2312" w:hint="eastAsia"/>
                <w:sz w:val="24"/>
                <w:szCs w:val="24"/>
              </w:rPr>
              <w:t>）</w:t>
            </w:r>
          </w:p>
        </w:tc>
        <w:tc>
          <w:tcPr>
            <w:tcW w:w="1155" w:type="dxa"/>
            <w:vAlign w:val="center"/>
          </w:tcPr>
          <w:p w14:paraId="0C7C2DF3"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100</w:t>
            </w:r>
          </w:p>
          <w:p w14:paraId="12FB8DD6"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w:t>
            </w:r>
            <w:r>
              <w:rPr>
                <w:rFonts w:eastAsia="FangSong_GB2312" w:cs="FangSong_GB2312" w:hint="eastAsia"/>
                <w:sz w:val="24"/>
                <w:szCs w:val="24"/>
              </w:rPr>
              <w:t>46</w:t>
            </w:r>
            <w:r>
              <w:rPr>
                <w:rFonts w:eastAsia="FangSong_GB2312" w:cs="FangSong_GB2312" w:hint="eastAsia"/>
                <w:sz w:val="24"/>
                <w:szCs w:val="24"/>
              </w:rPr>
              <w:t>）</w:t>
            </w:r>
          </w:p>
        </w:tc>
        <w:tc>
          <w:tcPr>
            <w:tcW w:w="1105" w:type="dxa"/>
            <w:vAlign w:val="center"/>
          </w:tcPr>
          <w:p w14:paraId="577CF3F4"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699D0469" w14:textId="77777777">
        <w:trPr>
          <w:trHeight w:val="550"/>
          <w:jc w:val="center"/>
        </w:trPr>
        <w:tc>
          <w:tcPr>
            <w:tcW w:w="749" w:type="dxa"/>
            <w:vAlign w:val="center"/>
          </w:tcPr>
          <w:p w14:paraId="0EC0D3D3"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7</w:t>
            </w:r>
          </w:p>
        </w:tc>
        <w:tc>
          <w:tcPr>
            <w:tcW w:w="889" w:type="dxa"/>
            <w:vMerge w:val="restart"/>
            <w:vAlign w:val="center"/>
          </w:tcPr>
          <w:p w14:paraId="168B06EB"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网络质量</w:t>
            </w:r>
          </w:p>
        </w:tc>
        <w:tc>
          <w:tcPr>
            <w:tcW w:w="747" w:type="dxa"/>
            <w:vMerge w:val="restart"/>
            <w:vAlign w:val="center"/>
          </w:tcPr>
          <w:p w14:paraId="6E9520DD"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铁路</w:t>
            </w:r>
          </w:p>
          <w:p w14:paraId="6A1AA0AA"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网络</w:t>
            </w:r>
          </w:p>
        </w:tc>
        <w:tc>
          <w:tcPr>
            <w:tcW w:w="3506" w:type="dxa"/>
            <w:vAlign w:val="center"/>
          </w:tcPr>
          <w:p w14:paraId="1A9286A2"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铁路运营里程（公里）</w:t>
            </w:r>
          </w:p>
        </w:tc>
        <w:tc>
          <w:tcPr>
            <w:tcW w:w="1137" w:type="dxa"/>
            <w:vAlign w:val="center"/>
          </w:tcPr>
          <w:p w14:paraId="0243A569"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1039</w:t>
            </w:r>
          </w:p>
        </w:tc>
        <w:tc>
          <w:tcPr>
            <w:tcW w:w="1155" w:type="dxa"/>
            <w:vAlign w:val="center"/>
          </w:tcPr>
          <w:p w14:paraId="782D553A"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1100</w:t>
            </w:r>
          </w:p>
        </w:tc>
        <w:tc>
          <w:tcPr>
            <w:tcW w:w="1105" w:type="dxa"/>
            <w:vAlign w:val="center"/>
          </w:tcPr>
          <w:p w14:paraId="7E2B9917"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15B626C6" w14:textId="77777777">
        <w:trPr>
          <w:trHeight w:val="550"/>
          <w:jc w:val="center"/>
        </w:trPr>
        <w:tc>
          <w:tcPr>
            <w:tcW w:w="749" w:type="dxa"/>
            <w:vAlign w:val="center"/>
          </w:tcPr>
          <w:p w14:paraId="47BF1021"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8</w:t>
            </w:r>
          </w:p>
        </w:tc>
        <w:tc>
          <w:tcPr>
            <w:tcW w:w="889" w:type="dxa"/>
            <w:vMerge/>
            <w:vAlign w:val="center"/>
          </w:tcPr>
          <w:p w14:paraId="07DA8F9E" w14:textId="77777777" w:rsidR="00000000" w:rsidRDefault="00000000">
            <w:pPr>
              <w:spacing w:line="340" w:lineRule="exact"/>
              <w:jc w:val="center"/>
              <w:rPr>
                <w:rFonts w:eastAsia="FangSong_GB2312" w:cs="FangSong_GB2312" w:hint="eastAsia"/>
                <w:sz w:val="24"/>
                <w:szCs w:val="24"/>
              </w:rPr>
            </w:pPr>
          </w:p>
        </w:tc>
        <w:tc>
          <w:tcPr>
            <w:tcW w:w="747" w:type="dxa"/>
            <w:vMerge/>
            <w:vAlign w:val="center"/>
          </w:tcPr>
          <w:p w14:paraId="66C45AC4" w14:textId="77777777" w:rsidR="00000000" w:rsidRDefault="00000000">
            <w:pPr>
              <w:spacing w:line="340" w:lineRule="exact"/>
              <w:jc w:val="center"/>
              <w:rPr>
                <w:rFonts w:eastAsia="FangSong_GB2312" w:cs="FangSong_GB2312" w:hint="eastAsia"/>
                <w:sz w:val="24"/>
                <w:szCs w:val="24"/>
              </w:rPr>
            </w:pPr>
          </w:p>
        </w:tc>
        <w:tc>
          <w:tcPr>
            <w:tcW w:w="3506" w:type="dxa"/>
            <w:vAlign w:val="center"/>
          </w:tcPr>
          <w:p w14:paraId="15DAFE27"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高铁运营里程（公里）</w:t>
            </w:r>
          </w:p>
        </w:tc>
        <w:tc>
          <w:tcPr>
            <w:tcW w:w="1137" w:type="dxa"/>
            <w:vAlign w:val="center"/>
          </w:tcPr>
          <w:p w14:paraId="0D54D5B1"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653</w:t>
            </w:r>
          </w:p>
        </w:tc>
        <w:tc>
          <w:tcPr>
            <w:tcW w:w="1155" w:type="dxa"/>
            <w:vAlign w:val="center"/>
          </w:tcPr>
          <w:p w14:paraId="0A96B1A2"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656</w:t>
            </w:r>
          </w:p>
        </w:tc>
        <w:tc>
          <w:tcPr>
            <w:tcW w:w="1105" w:type="dxa"/>
            <w:vAlign w:val="center"/>
          </w:tcPr>
          <w:p w14:paraId="52294E85"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5767A8E1" w14:textId="77777777">
        <w:trPr>
          <w:trHeight w:val="550"/>
          <w:jc w:val="center"/>
        </w:trPr>
        <w:tc>
          <w:tcPr>
            <w:tcW w:w="749" w:type="dxa"/>
            <w:vAlign w:val="center"/>
          </w:tcPr>
          <w:p w14:paraId="07FA4756"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9</w:t>
            </w:r>
          </w:p>
        </w:tc>
        <w:tc>
          <w:tcPr>
            <w:tcW w:w="889" w:type="dxa"/>
            <w:vMerge/>
            <w:vAlign w:val="center"/>
          </w:tcPr>
          <w:p w14:paraId="278F53B5" w14:textId="77777777" w:rsidR="00000000" w:rsidRDefault="00000000">
            <w:pPr>
              <w:spacing w:line="340" w:lineRule="exact"/>
              <w:jc w:val="center"/>
              <w:rPr>
                <w:rFonts w:eastAsia="FangSong_GB2312" w:cs="FangSong_GB2312" w:hint="eastAsia"/>
                <w:sz w:val="24"/>
                <w:szCs w:val="24"/>
              </w:rPr>
            </w:pPr>
          </w:p>
        </w:tc>
        <w:tc>
          <w:tcPr>
            <w:tcW w:w="747" w:type="dxa"/>
            <w:vMerge w:val="restart"/>
            <w:vAlign w:val="center"/>
          </w:tcPr>
          <w:p w14:paraId="408B19B3"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公路</w:t>
            </w:r>
          </w:p>
          <w:p w14:paraId="3365C4CA"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网络</w:t>
            </w:r>
          </w:p>
        </w:tc>
        <w:tc>
          <w:tcPr>
            <w:tcW w:w="3506" w:type="dxa"/>
            <w:vAlign w:val="center"/>
          </w:tcPr>
          <w:p w14:paraId="623B4E46"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公路通车里程（公里）</w:t>
            </w:r>
          </w:p>
        </w:tc>
        <w:tc>
          <w:tcPr>
            <w:tcW w:w="1137" w:type="dxa"/>
            <w:vAlign w:val="center"/>
          </w:tcPr>
          <w:p w14:paraId="1836CBEB"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42590</w:t>
            </w:r>
          </w:p>
        </w:tc>
        <w:tc>
          <w:tcPr>
            <w:tcW w:w="1155" w:type="dxa"/>
            <w:vAlign w:val="center"/>
          </w:tcPr>
          <w:p w14:paraId="0939ACD9"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43000</w:t>
            </w:r>
          </w:p>
        </w:tc>
        <w:tc>
          <w:tcPr>
            <w:tcW w:w="1105" w:type="dxa"/>
            <w:vAlign w:val="center"/>
          </w:tcPr>
          <w:p w14:paraId="04A8B656"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7960D815" w14:textId="77777777">
        <w:trPr>
          <w:trHeight w:val="666"/>
          <w:jc w:val="center"/>
        </w:trPr>
        <w:tc>
          <w:tcPr>
            <w:tcW w:w="749" w:type="dxa"/>
            <w:vAlign w:val="center"/>
          </w:tcPr>
          <w:p w14:paraId="3EC69CF3"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10</w:t>
            </w:r>
          </w:p>
        </w:tc>
        <w:tc>
          <w:tcPr>
            <w:tcW w:w="889" w:type="dxa"/>
            <w:vMerge/>
            <w:vAlign w:val="center"/>
          </w:tcPr>
          <w:p w14:paraId="647FEE9E" w14:textId="77777777" w:rsidR="00000000" w:rsidRDefault="00000000">
            <w:pPr>
              <w:spacing w:line="340" w:lineRule="exact"/>
              <w:jc w:val="center"/>
              <w:rPr>
                <w:rFonts w:eastAsia="FangSong_GB2312" w:cs="FangSong_GB2312" w:hint="eastAsia"/>
                <w:sz w:val="24"/>
                <w:szCs w:val="24"/>
              </w:rPr>
            </w:pPr>
          </w:p>
        </w:tc>
        <w:tc>
          <w:tcPr>
            <w:tcW w:w="747" w:type="dxa"/>
            <w:vMerge/>
            <w:vAlign w:val="center"/>
          </w:tcPr>
          <w:p w14:paraId="1AF20329" w14:textId="77777777" w:rsidR="00000000" w:rsidRDefault="00000000">
            <w:pPr>
              <w:spacing w:line="340" w:lineRule="exact"/>
              <w:jc w:val="center"/>
              <w:rPr>
                <w:rFonts w:eastAsia="FangSong_GB2312" w:cs="FangSong_GB2312" w:hint="eastAsia"/>
                <w:sz w:val="24"/>
                <w:szCs w:val="24"/>
              </w:rPr>
            </w:pPr>
          </w:p>
        </w:tc>
        <w:tc>
          <w:tcPr>
            <w:tcW w:w="3506" w:type="dxa"/>
            <w:vAlign w:val="center"/>
          </w:tcPr>
          <w:p w14:paraId="516FF49D"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高速公路里程（公里）</w:t>
            </w:r>
          </w:p>
        </w:tc>
        <w:tc>
          <w:tcPr>
            <w:tcW w:w="1137" w:type="dxa"/>
            <w:vAlign w:val="center"/>
          </w:tcPr>
          <w:p w14:paraId="4F081821"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1458</w:t>
            </w:r>
          </w:p>
        </w:tc>
        <w:tc>
          <w:tcPr>
            <w:tcW w:w="1155" w:type="dxa"/>
            <w:vAlign w:val="center"/>
          </w:tcPr>
          <w:p w14:paraId="049295D0"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1600</w:t>
            </w:r>
          </w:p>
        </w:tc>
        <w:tc>
          <w:tcPr>
            <w:tcW w:w="1105" w:type="dxa"/>
            <w:vAlign w:val="center"/>
          </w:tcPr>
          <w:p w14:paraId="068A0EA7"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31638F0D" w14:textId="77777777">
        <w:trPr>
          <w:trHeight w:val="550"/>
          <w:jc w:val="center"/>
        </w:trPr>
        <w:tc>
          <w:tcPr>
            <w:tcW w:w="749" w:type="dxa"/>
            <w:vAlign w:val="center"/>
          </w:tcPr>
          <w:p w14:paraId="134E9F68"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11</w:t>
            </w:r>
          </w:p>
        </w:tc>
        <w:tc>
          <w:tcPr>
            <w:tcW w:w="889" w:type="dxa"/>
            <w:vMerge/>
            <w:vAlign w:val="center"/>
          </w:tcPr>
          <w:p w14:paraId="4A462356" w14:textId="77777777" w:rsidR="00000000" w:rsidRDefault="00000000">
            <w:pPr>
              <w:spacing w:line="340" w:lineRule="exact"/>
              <w:jc w:val="center"/>
              <w:rPr>
                <w:rFonts w:eastAsia="FangSong_GB2312" w:cs="FangSong_GB2312" w:hint="eastAsia"/>
                <w:sz w:val="24"/>
                <w:szCs w:val="24"/>
              </w:rPr>
            </w:pPr>
          </w:p>
        </w:tc>
        <w:tc>
          <w:tcPr>
            <w:tcW w:w="4253" w:type="dxa"/>
            <w:gridSpan w:val="2"/>
            <w:vAlign w:val="center"/>
          </w:tcPr>
          <w:p w14:paraId="7FC669D0"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低空公共航路里程（公里）</w:t>
            </w:r>
          </w:p>
        </w:tc>
        <w:tc>
          <w:tcPr>
            <w:tcW w:w="1137" w:type="dxa"/>
            <w:vAlign w:val="center"/>
          </w:tcPr>
          <w:p w14:paraId="79D64D04"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0</w:t>
            </w:r>
          </w:p>
        </w:tc>
        <w:tc>
          <w:tcPr>
            <w:tcW w:w="1155" w:type="dxa"/>
            <w:vAlign w:val="center"/>
          </w:tcPr>
          <w:p w14:paraId="2D55876B"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200</w:t>
            </w:r>
          </w:p>
        </w:tc>
        <w:tc>
          <w:tcPr>
            <w:tcW w:w="1105" w:type="dxa"/>
            <w:vAlign w:val="center"/>
          </w:tcPr>
          <w:p w14:paraId="4538DC2D"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33C410EB" w14:textId="77777777">
        <w:trPr>
          <w:trHeight w:val="550"/>
          <w:jc w:val="center"/>
        </w:trPr>
        <w:tc>
          <w:tcPr>
            <w:tcW w:w="749" w:type="dxa"/>
            <w:vAlign w:val="center"/>
          </w:tcPr>
          <w:p w14:paraId="5373C45B"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12</w:t>
            </w:r>
          </w:p>
        </w:tc>
        <w:tc>
          <w:tcPr>
            <w:tcW w:w="889" w:type="dxa"/>
            <w:vMerge w:val="restart"/>
            <w:vAlign w:val="center"/>
          </w:tcPr>
          <w:p w14:paraId="1B40C0B6"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服务品质</w:t>
            </w:r>
          </w:p>
        </w:tc>
        <w:tc>
          <w:tcPr>
            <w:tcW w:w="747" w:type="dxa"/>
            <w:vMerge w:val="restart"/>
            <w:vAlign w:val="center"/>
          </w:tcPr>
          <w:p w14:paraId="1E2DBDF1"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民航</w:t>
            </w:r>
          </w:p>
          <w:p w14:paraId="5BDC8663"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服务</w:t>
            </w:r>
          </w:p>
        </w:tc>
        <w:tc>
          <w:tcPr>
            <w:tcW w:w="3506" w:type="dxa"/>
            <w:vAlign w:val="center"/>
          </w:tcPr>
          <w:p w14:paraId="361C7AE1"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航班正常率（</w:t>
            </w:r>
            <w:r>
              <w:rPr>
                <w:rFonts w:eastAsia="FangSong_GB2312" w:cs="FangSong_GB2312" w:hint="eastAsia"/>
                <w:sz w:val="24"/>
                <w:szCs w:val="24"/>
              </w:rPr>
              <w:t>%</w:t>
            </w:r>
            <w:r>
              <w:rPr>
                <w:rFonts w:eastAsia="FangSong_GB2312" w:cs="FangSong_GB2312" w:hint="eastAsia"/>
                <w:sz w:val="24"/>
                <w:szCs w:val="24"/>
              </w:rPr>
              <w:t>）</w:t>
            </w:r>
          </w:p>
        </w:tc>
        <w:tc>
          <w:tcPr>
            <w:tcW w:w="1137" w:type="dxa"/>
            <w:vAlign w:val="center"/>
          </w:tcPr>
          <w:p w14:paraId="7DA2C753"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92.53</w:t>
            </w:r>
          </w:p>
        </w:tc>
        <w:tc>
          <w:tcPr>
            <w:tcW w:w="1155" w:type="dxa"/>
            <w:vAlign w:val="center"/>
          </w:tcPr>
          <w:p w14:paraId="68C5C731"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w:t>
            </w:r>
            <w:r>
              <w:rPr>
                <w:rFonts w:eastAsia="FangSong_GB2312" w:cs="FangSong_GB2312" w:hint="eastAsia"/>
                <w:sz w:val="24"/>
                <w:szCs w:val="24"/>
              </w:rPr>
              <w:t>85</w:t>
            </w:r>
          </w:p>
        </w:tc>
        <w:tc>
          <w:tcPr>
            <w:tcW w:w="1105" w:type="dxa"/>
            <w:vAlign w:val="center"/>
          </w:tcPr>
          <w:p w14:paraId="06778F60"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2DCA16FA" w14:textId="77777777">
        <w:trPr>
          <w:trHeight w:val="550"/>
          <w:jc w:val="center"/>
        </w:trPr>
        <w:tc>
          <w:tcPr>
            <w:tcW w:w="749" w:type="dxa"/>
            <w:vAlign w:val="center"/>
          </w:tcPr>
          <w:p w14:paraId="03C9E64F"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13</w:t>
            </w:r>
          </w:p>
        </w:tc>
        <w:tc>
          <w:tcPr>
            <w:tcW w:w="889" w:type="dxa"/>
            <w:vMerge/>
            <w:vAlign w:val="center"/>
          </w:tcPr>
          <w:p w14:paraId="73951D7E" w14:textId="77777777" w:rsidR="00000000" w:rsidRDefault="00000000">
            <w:pPr>
              <w:spacing w:line="340" w:lineRule="exact"/>
              <w:jc w:val="center"/>
              <w:rPr>
                <w:rFonts w:eastAsia="FangSong_GB2312" w:cs="FangSong_GB2312" w:hint="eastAsia"/>
                <w:sz w:val="24"/>
                <w:szCs w:val="24"/>
              </w:rPr>
            </w:pPr>
          </w:p>
        </w:tc>
        <w:tc>
          <w:tcPr>
            <w:tcW w:w="747" w:type="dxa"/>
            <w:vMerge/>
            <w:vAlign w:val="center"/>
          </w:tcPr>
          <w:p w14:paraId="3A995ED7" w14:textId="77777777" w:rsidR="00000000" w:rsidRDefault="00000000">
            <w:pPr>
              <w:spacing w:line="340" w:lineRule="exact"/>
              <w:jc w:val="center"/>
              <w:rPr>
                <w:rFonts w:eastAsia="FangSong_GB2312" w:cs="FangSong_GB2312" w:hint="eastAsia"/>
                <w:sz w:val="24"/>
                <w:szCs w:val="24"/>
              </w:rPr>
            </w:pPr>
          </w:p>
        </w:tc>
        <w:tc>
          <w:tcPr>
            <w:tcW w:w="3506" w:type="dxa"/>
            <w:vAlign w:val="center"/>
          </w:tcPr>
          <w:p w14:paraId="28D81F85"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民航旅客吞吐量（万人次）</w:t>
            </w:r>
          </w:p>
        </w:tc>
        <w:tc>
          <w:tcPr>
            <w:tcW w:w="1137" w:type="dxa"/>
            <w:vAlign w:val="center"/>
          </w:tcPr>
          <w:p w14:paraId="063DFAC0"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5044</w:t>
            </w:r>
          </w:p>
        </w:tc>
        <w:tc>
          <w:tcPr>
            <w:tcW w:w="1155" w:type="dxa"/>
            <w:vAlign w:val="center"/>
          </w:tcPr>
          <w:p w14:paraId="12C94B87"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6500</w:t>
            </w:r>
          </w:p>
        </w:tc>
        <w:tc>
          <w:tcPr>
            <w:tcW w:w="1105" w:type="dxa"/>
            <w:vAlign w:val="center"/>
          </w:tcPr>
          <w:p w14:paraId="4F634139"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555CC5E6" w14:textId="77777777">
        <w:trPr>
          <w:trHeight w:val="550"/>
          <w:jc w:val="center"/>
        </w:trPr>
        <w:tc>
          <w:tcPr>
            <w:tcW w:w="749" w:type="dxa"/>
            <w:vAlign w:val="center"/>
          </w:tcPr>
          <w:p w14:paraId="3CE0448B"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14</w:t>
            </w:r>
          </w:p>
        </w:tc>
        <w:tc>
          <w:tcPr>
            <w:tcW w:w="889" w:type="dxa"/>
            <w:vMerge/>
            <w:vAlign w:val="center"/>
          </w:tcPr>
          <w:p w14:paraId="02B26C88" w14:textId="77777777" w:rsidR="00000000" w:rsidRDefault="00000000">
            <w:pPr>
              <w:spacing w:line="340" w:lineRule="exact"/>
              <w:jc w:val="center"/>
              <w:rPr>
                <w:rFonts w:eastAsia="FangSong_GB2312" w:cs="FangSong_GB2312" w:hint="eastAsia"/>
                <w:sz w:val="24"/>
                <w:szCs w:val="24"/>
              </w:rPr>
            </w:pPr>
          </w:p>
        </w:tc>
        <w:tc>
          <w:tcPr>
            <w:tcW w:w="747" w:type="dxa"/>
            <w:vMerge/>
            <w:vAlign w:val="center"/>
          </w:tcPr>
          <w:p w14:paraId="11FA3D54" w14:textId="77777777" w:rsidR="00000000" w:rsidRDefault="00000000">
            <w:pPr>
              <w:spacing w:line="340" w:lineRule="exact"/>
              <w:jc w:val="center"/>
              <w:rPr>
                <w:rFonts w:eastAsia="FangSong_GB2312" w:cs="FangSong_GB2312" w:hint="eastAsia"/>
                <w:sz w:val="24"/>
                <w:szCs w:val="24"/>
              </w:rPr>
            </w:pPr>
          </w:p>
        </w:tc>
        <w:tc>
          <w:tcPr>
            <w:tcW w:w="3506" w:type="dxa"/>
            <w:vAlign w:val="center"/>
          </w:tcPr>
          <w:p w14:paraId="480F8188"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航空货邮吞吐量（万吨）</w:t>
            </w:r>
          </w:p>
        </w:tc>
        <w:tc>
          <w:tcPr>
            <w:tcW w:w="1137" w:type="dxa"/>
            <w:vAlign w:val="center"/>
          </w:tcPr>
          <w:p w14:paraId="15E909DD"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33.58</w:t>
            </w:r>
          </w:p>
        </w:tc>
        <w:tc>
          <w:tcPr>
            <w:tcW w:w="1155" w:type="dxa"/>
            <w:vAlign w:val="center"/>
          </w:tcPr>
          <w:p w14:paraId="282C1364"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48</w:t>
            </w:r>
          </w:p>
        </w:tc>
        <w:tc>
          <w:tcPr>
            <w:tcW w:w="1105" w:type="dxa"/>
            <w:vAlign w:val="center"/>
          </w:tcPr>
          <w:p w14:paraId="3DF0AE55"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42641685" w14:textId="77777777">
        <w:trPr>
          <w:trHeight w:val="550"/>
          <w:jc w:val="center"/>
        </w:trPr>
        <w:tc>
          <w:tcPr>
            <w:tcW w:w="749" w:type="dxa"/>
            <w:vAlign w:val="center"/>
          </w:tcPr>
          <w:p w14:paraId="6320EC48"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15</w:t>
            </w:r>
          </w:p>
        </w:tc>
        <w:tc>
          <w:tcPr>
            <w:tcW w:w="889" w:type="dxa"/>
            <w:vMerge/>
            <w:vAlign w:val="center"/>
          </w:tcPr>
          <w:p w14:paraId="01157D4C" w14:textId="77777777" w:rsidR="00000000" w:rsidRDefault="00000000">
            <w:pPr>
              <w:spacing w:line="340" w:lineRule="exact"/>
              <w:jc w:val="center"/>
              <w:rPr>
                <w:rFonts w:eastAsia="FangSong_GB2312" w:cs="FangSong_GB2312" w:hint="eastAsia"/>
                <w:sz w:val="24"/>
                <w:szCs w:val="24"/>
              </w:rPr>
            </w:pPr>
          </w:p>
        </w:tc>
        <w:tc>
          <w:tcPr>
            <w:tcW w:w="4253" w:type="dxa"/>
            <w:gridSpan w:val="2"/>
            <w:vAlign w:val="center"/>
          </w:tcPr>
          <w:p w14:paraId="307478BE"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铁路客运量（万人次）</w:t>
            </w:r>
          </w:p>
        </w:tc>
        <w:tc>
          <w:tcPr>
            <w:tcW w:w="1137" w:type="dxa"/>
            <w:vAlign w:val="center"/>
          </w:tcPr>
          <w:p w14:paraId="7F48EA56"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3478</w:t>
            </w:r>
          </w:p>
        </w:tc>
        <w:tc>
          <w:tcPr>
            <w:tcW w:w="1155" w:type="dxa"/>
            <w:vAlign w:val="center"/>
          </w:tcPr>
          <w:p w14:paraId="2B52DE5E" w14:textId="77777777" w:rsidR="00000000" w:rsidRDefault="00000000">
            <w:pPr>
              <w:spacing w:line="340" w:lineRule="exact"/>
              <w:jc w:val="center"/>
              <w:rPr>
                <w:rFonts w:eastAsia="FangSong_GB2312" w:cs="FangSong_GB2312"/>
                <w:sz w:val="24"/>
                <w:szCs w:val="24"/>
              </w:rPr>
            </w:pPr>
            <w:r>
              <w:rPr>
                <w:rFonts w:eastAsia="FangSong_GB2312" w:cs="FangSong_GB2312" w:hint="eastAsia"/>
                <w:sz w:val="24"/>
                <w:szCs w:val="24"/>
              </w:rPr>
              <w:t>5000</w:t>
            </w:r>
          </w:p>
        </w:tc>
        <w:tc>
          <w:tcPr>
            <w:tcW w:w="1105" w:type="dxa"/>
            <w:vAlign w:val="center"/>
          </w:tcPr>
          <w:p w14:paraId="2529746C"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09226B1D" w14:textId="77777777">
        <w:trPr>
          <w:trHeight w:val="550"/>
          <w:jc w:val="center"/>
        </w:trPr>
        <w:tc>
          <w:tcPr>
            <w:tcW w:w="749" w:type="dxa"/>
            <w:vAlign w:val="center"/>
          </w:tcPr>
          <w:p w14:paraId="14C0CA81"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16</w:t>
            </w:r>
          </w:p>
        </w:tc>
        <w:tc>
          <w:tcPr>
            <w:tcW w:w="889" w:type="dxa"/>
            <w:vMerge/>
            <w:vAlign w:val="center"/>
          </w:tcPr>
          <w:p w14:paraId="432576B4" w14:textId="77777777" w:rsidR="00000000" w:rsidRDefault="00000000">
            <w:pPr>
              <w:spacing w:line="340" w:lineRule="exact"/>
              <w:jc w:val="center"/>
              <w:rPr>
                <w:rFonts w:eastAsia="FangSong_GB2312" w:cs="FangSong_GB2312" w:hint="eastAsia"/>
                <w:sz w:val="24"/>
                <w:szCs w:val="24"/>
              </w:rPr>
            </w:pPr>
          </w:p>
        </w:tc>
        <w:tc>
          <w:tcPr>
            <w:tcW w:w="4253" w:type="dxa"/>
            <w:gridSpan w:val="2"/>
            <w:vAlign w:val="center"/>
          </w:tcPr>
          <w:p w14:paraId="0F47A7F1"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铁路货运量（万吨）</w:t>
            </w:r>
          </w:p>
        </w:tc>
        <w:tc>
          <w:tcPr>
            <w:tcW w:w="1137" w:type="dxa"/>
            <w:vAlign w:val="center"/>
          </w:tcPr>
          <w:p w14:paraId="4B028624"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743</w:t>
            </w:r>
          </w:p>
        </w:tc>
        <w:tc>
          <w:tcPr>
            <w:tcW w:w="1155" w:type="dxa"/>
            <w:vAlign w:val="center"/>
          </w:tcPr>
          <w:p w14:paraId="3AE0F8C2"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2400</w:t>
            </w:r>
          </w:p>
        </w:tc>
        <w:tc>
          <w:tcPr>
            <w:tcW w:w="1105" w:type="dxa"/>
            <w:vAlign w:val="center"/>
          </w:tcPr>
          <w:p w14:paraId="63B3F09C"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3BE8084C" w14:textId="77777777">
        <w:trPr>
          <w:trHeight w:val="601"/>
          <w:jc w:val="center"/>
        </w:trPr>
        <w:tc>
          <w:tcPr>
            <w:tcW w:w="749" w:type="dxa"/>
            <w:vAlign w:val="center"/>
          </w:tcPr>
          <w:p w14:paraId="0873F43B"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17</w:t>
            </w:r>
          </w:p>
        </w:tc>
        <w:tc>
          <w:tcPr>
            <w:tcW w:w="889" w:type="dxa"/>
            <w:vMerge/>
            <w:vAlign w:val="center"/>
          </w:tcPr>
          <w:p w14:paraId="636D33DA" w14:textId="77777777" w:rsidR="00000000" w:rsidRDefault="00000000">
            <w:pPr>
              <w:spacing w:line="340" w:lineRule="exact"/>
              <w:jc w:val="center"/>
              <w:rPr>
                <w:rFonts w:eastAsia="FangSong_GB2312" w:cs="FangSong_GB2312" w:hint="eastAsia"/>
                <w:sz w:val="24"/>
                <w:szCs w:val="24"/>
              </w:rPr>
            </w:pPr>
          </w:p>
        </w:tc>
        <w:tc>
          <w:tcPr>
            <w:tcW w:w="4253" w:type="dxa"/>
            <w:gridSpan w:val="2"/>
            <w:vAlign w:val="center"/>
          </w:tcPr>
          <w:p w14:paraId="6F6B29C7"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民用低空航空器飞行总量（万小时）</w:t>
            </w:r>
          </w:p>
        </w:tc>
        <w:tc>
          <w:tcPr>
            <w:tcW w:w="1137" w:type="dxa"/>
            <w:vAlign w:val="center"/>
          </w:tcPr>
          <w:p w14:paraId="7D2EB398"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85</w:t>
            </w:r>
          </w:p>
        </w:tc>
        <w:tc>
          <w:tcPr>
            <w:tcW w:w="1155" w:type="dxa"/>
            <w:vAlign w:val="center"/>
          </w:tcPr>
          <w:p w14:paraId="03ACDB9D"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170</w:t>
            </w:r>
          </w:p>
        </w:tc>
        <w:tc>
          <w:tcPr>
            <w:tcW w:w="1105" w:type="dxa"/>
            <w:vAlign w:val="center"/>
          </w:tcPr>
          <w:p w14:paraId="1971C039"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0F2CB8E2" w14:textId="77777777">
        <w:trPr>
          <w:trHeight w:val="836"/>
          <w:jc w:val="center"/>
        </w:trPr>
        <w:tc>
          <w:tcPr>
            <w:tcW w:w="749" w:type="dxa"/>
            <w:vAlign w:val="center"/>
          </w:tcPr>
          <w:p w14:paraId="4F933149"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18</w:t>
            </w:r>
          </w:p>
        </w:tc>
        <w:tc>
          <w:tcPr>
            <w:tcW w:w="889" w:type="dxa"/>
            <w:vMerge/>
            <w:vAlign w:val="center"/>
          </w:tcPr>
          <w:p w14:paraId="5CD6AA04" w14:textId="77777777" w:rsidR="00000000" w:rsidRDefault="00000000">
            <w:pPr>
              <w:spacing w:line="340" w:lineRule="exact"/>
              <w:jc w:val="center"/>
              <w:rPr>
                <w:rFonts w:eastAsia="FangSong_GB2312" w:cs="FangSong_GB2312" w:hint="eastAsia"/>
                <w:sz w:val="24"/>
                <w:szCs w:val="24"/>
              </w:rPr>
            </w:pPr>
          </w:p>
        </w:tc>
        <w:tc>
          <w:tcPr>
            <w:tcW w:w="4253" w:type="dxa"/>
            <w:gridSpan w:val="2"/>
            <w:vAlign w:val="center"/>
          </w:tcPr>
          <w:p w14:paraId="324535E5"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全省社会物流总费用占地区生产总值的比例（</w:t>
            </w:r>
            <w:r>
              <w:rPr>
                <w:rFonts w:eastAsia="FangSong_GB2312" w:cs="FangSong_GB2312" w:hint="eastAsia"/>
                <w:sz w:val="24"/>
                <w:szCs w:val="24"/>
              </w:rPr>
              <w:t>%</w:t>
            </w:r>
            <w:r>
              <w:rPr>
                <w:rFonts w:eastAsia="FangSong_GB2312" w:cs="FangSong_GB2312" w:hint="eastAsia"/>
                <w:sz w:val="24"/>
                <w:szCs w:val="24"/>
              </w:rPr>
              <w:t>）</w:t>
            </w:r>
          </w:p>
        </w:tc>
        <w:tc>
          <w:tcPr>
            <w:tcW w:w="1137" w:type="dxa"/>
            <w:vAlign w:val="center"/>
          </w:tcPr>
          <w:p w14:paraId="24314EE3"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15.2</w:t>
            </w:r>
          </w:p>
        </w:tc>
        <w:tc>
          <w:tcPr>
            <w:tcW w:w="1155" w:type="dxa"/>
            <w:vAlign w:val="center"/>
          </w:tcPr>
          <w:p w14:paraId="12AC12E4" w14:textId="77777777" w:rsidR="00000000" w:rsidRDefault="00000000">
            <w:pPr>
              <w:spacing w:line="340" w:lineRule="exact"/>
              <w:jc w:val="center"/>
              <w:rPr>
                <w:rFonts w:eastAsia="FangSong_GB2312" w:cs="FangSong_GB2312" w:hint="eastAsia"/>
                <w:sz w:val="24"/>
                <w:szCs w:val="24"/>
              </w:rPr>
            </w:pPr>
            <w:r>
              <w:rPr>
                <w:rFonts w:eastAsia="FangSong_GB2312" w:cs="Times New Roman" w:hint="eastAsia"/>
                <w:sz w:val="24"/>
                <w:szCs w:val="24"/>
              </w:rPr>
              <w:t>≤</w:t>
            </w:r>
            <w:r>
              <w:rPr>
                <w:rFonts w:eastAsia="FangSong_GB2312" w:cs="FangSong_GB2312" w:hint="eastAsia"/>
                <w:sz w:val="24"/>
                <w:szCs w:val="24"/>
              </w:rPr>
              <w:t>14.4</w:t>
            </w:r>
          </w:p>
        </w:tc>
        <w:tc>
          <w:tcPr>
            <w:tcW w:w="1105" w:type="dxa"/>
            <w:vAlign w:val="center"/>
          </w:tcPr>
          <w:p w14:paraId="6E5D5FAF"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r w:rsidR="00000000" w14:paraId="6542B308" w14:textId="77777777">
        <w:trPr>
          <w:trHeight w:val="880"/>
          <w:jc w:val="center"/>
        </w:trPr>
        <w:tc>
          <w:tcPr>
            <w:tcW w:w="749" w:type="dxa"/>
            <w:vAlign w:val="center"/>
          </w:tcPr>
          <w:p w14:paraId="41BD76C4"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19</w:t>
            </w:r>
          </w:p>
        </w:tc>
        <w:tc>
          <w:tcPr>
            <w:tcW w:w="889" w:type="dxa"/>
            <w:vMerge/>
            <w:vAlign w:val="center"/>
          </w:tcPr>
          <w:p w14:paraId="1C820DAE" w14:textId="77777777" w:rsidR="00000000" w:rsidRDefault="00000000">
            <w:pPr>
              <w:spacing w:line="340" w:lineRule="exact"/>
              <w:jc w:val="center"/>
              <w:rPr>
                <w:rFonts w:eastAsia="FangSong_GB2312" w:cs="FangSong_GB2312" w:hint="eastAsia"/>
                <w:sz w:val="24"/>
                <w:szCs w:val="24"/>
              </w:rPr>
            </w:pPr>
          </w:p>
        </w:tc>
        <w:tc>
          <w:tcPr>
            <w:tcW w:w="4253" w:type="dxa"/>
            <w:gridSpan w:val="2"/>
            <w:vAlign w:val="center"/>
          </w:tcPr>
          <w:p w14:paraId="445382D5"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公共交通领域新增和更换车辆使用清洁能源比例（</w:t>
            </w:r>
            <w:r>
              <w:rPr>
                <w:rFonts w:eastAsia="FangSong_GB2312" w:cs="FangSong_GB2312" w:hint="eastAsia"/>
                <w:sz w:val="24"/>
                <w:szCs w:val="24"/>
              </w:rPr>
              <w:t>%</w:t>
            </w:r>
            <w:r>
              <w:rPr>
                <w:rFonts w:eastAsia="FangSong_GB2312" w:cs="FangSong_GB2312" w:hint="eastAsia"/>
                <w:sz w:val="24"/>
                <w:szCs w:val="24"/>
              </w:rPr>
              <w:t>）</w:t>
            </w:r>
          </w:p>
        </w:tc>
        <w:tc>
          <w:tcPr>
            <w:tcW w:w="1137" w:type="dxa"/>
            <w:vAlign w:val="center"/>
          </w:tcPr>
          <w:p w14:paraId="52CF0F2D"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100</w:t>
            </w:r>
          </w:p>
        </w:tc>
        <w:tc>
          <w:tcPr>
            <w:tcW w:w="1155" w:type="dxa"/>
            <w:vAlign w:val="center"/>
          </w:tcPr>
          <w:p w14:paraId="6C861D77"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100</w:t>
            </w:r>
          </w:p>
        </w:tc>
        <w:tc>
          <w:tcPr>
            <w:tcW w:w="1105" w:type="dxa"/>
            <w:vAlign w:val="center"/>
          </w:tcPr>
          <w:p w14:paraId="7025628D" w14:textId="77777777" w:rsidR="00000000" w:rsidRDefault="00000000">
            <w:pPr>
              <w:spacing w:line="340" w:lineRule="exact"/>
              <w:jc w:val="center"/>
              <w:rPr>
                <w:rFonts w:eastAsia="FangSong_GB2312" w:cs="FangSong_GB2312" w:hint="eastAsia"/>
                <w:sz w:val="24"/>
                <w:szCs w:val="24"/>
              </w:rPr>
            </w:pPr>
            <w:r>
              <w:rPr>
                <w:rFonts w:eastAsia="FangSong_GB2312" w:cs="FangSong_GB2312" w:hint="eastAsia"/>
                <w:sz w:val="24"/>
                <w:szCs w:val="24"/>
              </w:rPr>
              <w:t>预期性</w:t>
            </w:r>
          </w:p>
        </w:tc>
      </w:tr>
    </w:tbl>
    <w:p w14:paraId="4ADB24D4" w14:textId="77777777" w:rsidR="00000000" w:rsidRDefault="00000000">
      <w:pPr>
        <w:spacing w:line="560" w:lineRule="exact"/>
        <w:rPr>
          <w:rFonts w:ascii="FangSong_GB2312" w:eastAsia="FangSong_GB2312" w:hAnsi="FangSong_GB2312" w:cs="FangSong_GB2312" w:hint="eastAsia"/>
          <w:sz w:val="24"/>
          <w:szCs w:val="24"/>
        </w:rPr>
      </w:pPr>
      <w:r>
        <w:rPr>
          <w:rFonts w:ascii="FangSong_GB2312" w:eastAsia="FangSong_GB2312" w:hAnsi="FangSong_GB2312" w:cs="FangSong_GB2312" w:hint="eastAsia"/>
          <w:sz w:val="24"/>
          <w:szCs w:val="24"/>
        </w:rPr>
        <w:t>注：〔〕为5年累计数。</w:t>
      </w:r>
    </w:p>
    <w:p w14:paraId="5420BA92" w14:textId="77777777" w:rsidR="00000000" w:rsidRDefault="00000000">
      <w:pPr>
        <w:spacing w:beforeLines="30" w:before="176" w:afterLines="30" w:after="176" w:line="600" w:lineRule="exact"/>
        <w:jc w:val="center"/>
        <w:outlineLvl w:val="0"/>
        <w:rPr>
          <w:rFonts w:eastAsia="SimHei" w:cs="Times New Roman"/>
          <w:sz w:val="32"/>
          <w:szCs w:val="32"/>
        </w:rPr>
      </w:pPr>
      <w:bookmarkStart w:id="49" w:name="_Toc868072723"/>
      <w:bookmarkStart w:id="50" w:name="_Toc892928285"/>
      <w:bookmarkStart w:id="51" w:name="_Toc1335939431"/>
      <w:bookmarkStart w:id="52" w:name="_Toc529611676"/>
      <w:bookmarkStart w:id="53" w:name="_Toc179156732"/>
      <w:bookmarkStart w:id="54" w:name="_Toc2037639210"/>
      <w:r>
        <w:rPr>
          <w:rFonts w:eastAsia="SimHei" w:cs="Times New Roman"/>
          <w:sz w:val="32"/>
          <w:szCs w:val="32"/>
        </w:rPr>
        <w:t>第二章</w:t>
      </w:r>
      <w:r>
        <w:rPr>
          <w:rFonts w:eastAsia="SimHei" w:cs="Times New Roman"/>
          <w:sz w:val="32"/>
          <w:szCs w:val="32"/>
        </w:rPr>
        <w:t xml:space="preserve"> </w:t>
      </w:r>
      <w:r>
        <w:rPr>
          <w:rFonts w:eastAsia="SimHei" w:cs="Times New Roman"/>
          <w:sz w:val="32"/>
          <w:szCs w:val="32"/>
        </w:rPr>
        <w:t>完善交通基础设施布局</w:t>
      </w:r>
      <w:bookmarkEnd w:id="47"/>
      <w:bookmarkEnd w:id="48"/>
      <w:bookmarkEnd w:id="49"/>
      <w:bookmarkEnd w:id="50"/>
      <w:bookmarkEnd w:id="51"/>
      <w:bookmarkEnd w:id="52"/>
      <w:bookmarkEnd w:id="53"/>
      <w:bookmarkEnd w:id="54"/>
    </w:p>
    <w:p w14:paraId="06A25FEA"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立足海南综合交通发展全局，以“三核两网五环四通道”综合立体交通网主骨架为引领，系统推进航空、铁路、公路、水运及低空交通一体化建设，构建陆海空立体衔接、全域协同</w:t>
      </w:r>
      <w:r>
        <w:rPr>
          <w:rFonts w:ascii="FangSong_GB2312" w:eastAsia="FangSong_GB2312" w:hAnsi="FangSong_GB2312" w:cs="FangSong_GB2312" w:hint="eastAsia"/>
          <w:sz w:val="32"/>
          <w:szCs w:val="32"/>
        </w:rPr>
        <w:lastRenderedPageBreak/>
        <w:t>高效的综合交通运输体系。</w:t>
      </w:r>
    </w:p>
    <w:p w14:paraId="1E464490"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55" w:name="_Toc10057"/>
      <w:bookmarkStart w:id="56" w:name="_Toc2077459129"/>
      <w:bookmarkStart w:id="57" w:name="_Toc876363722"/>
      <w:bookmarkStart w:id="58" w:name="_Toc2044303074"/>
      <w:bookmarkStart w:id="59" w:name="_Toc1264590714"/>
      <w:bookmarkStart w:id="60" w:name="_Toc1486407242"/>
      <w:bookmarkStart w:id="61" w:name="_Toc24020"/>
      <w:bookmarkStart w:id="62" w:name="_Toc501655861"/>
      <w:r>
        <w:rPr>
          <w:rFonts w:eastAsia="KaiTi_GB2312" w:cs="KaiTi_GB2312" w:hint="eastAsia"/>
          <w:sz w:val="32"/>
          <w:szCs w:val="32"/>
        </w:rPr>
        <w:t>第一节</w:t>
      </w:r>
      <w:r>
        <w:rPr>
          <w:rFonts w:eastAsia="KaiTi_GB2312" w:cs="KaiTi_GB2312" w:hint="eastAsia"/>
          <w:sz w:val="32"/>
          <w:szCs w:val="32"/>
        </w:rPr>
        <w:t xml:space="preserve"> </w:t>
      </w:r>
      <w:r>
        <w:rPr>
          <w:rFonts w:eastAsia="KaiTi_GB2312" w:cs="KaiTi_GB2312" w:hint="eastAsia"/>
          <w:sz w:val="32"/>
          <w:szCs w:val="32"/>
        </w:rPr>
        <w:t>构建综合立体交通主骨架</w:t>
      </w:r>
      <w:bookmarkEnd w:id="55"/>
      <w:bookmarkEnd w:id="56"/>
      <w:bookmarkEnd w:id="57"/>
      <w:bookmarkEnd w:id="58"/>
      <w:bookmarkEnd w:id="59"/>
      <w:bookmarkEnd w:id="60"/>
      <w:bookmarkEnd w:id="61"/>
      <w:bookmarkEnd w:id="62"/>
    </w:p>
    <w:p w14:paraId="08C116C4" w14:textId="77777777" w:rsidR="00000000" w:rsidRDefault="00000000">
      <w:pPr>
        <w:spacing w:line="600" w:lineRule="exact"/>
        <w:ind w:firstLineChars="200" w:firstLine="650"/>
        <w:rPr>
          <w:rFonts w:eastAsia="FangSong_GB2312" w:cs="Times New Roman"/>
          <w:sz w:val="32"/>
          <w:szCs w:val="32"/>
        </w:rPr>
      </w:pPr>
      <w:r>
        <w:rPr>
          <w:rFonts w:eastAsia="FangSong_GB2312" w:cs="Times New Roman"/>
          <w:b/>
          <w:bCs/>
          <w:sz w:val="32"/>
          <w:szCs w:val="32"/>
        </w:rPr>
        <w:t>着力打造</w:t>
      </w:r>
      <w:r>
        <w:rPr>
          <w:rFonts w:eastAsia="FangSong_GB2312" w:cs="Times New Roman" w:hint="eastAsia"/>
          <w:b/>
          <w:bCs/>
          <w:sz w:val="32"/>
          <w:szCs w:val="32"/>
        </w:rPr>
        <w:t>“</w:t>
      </w:r>
      <w:r>
        <w:rPr>
          <w:rFonts w:eastAsia="FangSong_GB2312" w:cs="Times New Roman"/>
          <w:b/>
          <w:bCs/>
          <w:sz w:val="32"/>
          <w:szCs w:val="32"/>
        </w:rPr>
        <w:t>一主一次</w:t>
      </w:r>
      <w:r>
        <w:rPr>
          <w:rFonts w:eastAsia="FangSong_GB2312" w:cs="Times New Roman" w:hint="eastAsia"/>
          <w:b/>
          <w:bCs/>
          <w:sz w:val="32"/>
          <w:szCs w:val="32"/>
        </w:rPr>
        <w:t>、</w:t>
      </w:r>
      <w:r>
        <w:rPr>
          <w:rFonts w:eastAsia="FangSong_GB2312" w:cs="Times New Roman"/>
          <w:b/>
          <w:bCs/>
          <w:sz w:val="32"/>
          <w:szCs w:val="32"/>
        </w:rPr>
        <w:t>两支一货运</w:t>
      </w:r>
      <w:r>
        <w:rPr>
          <w:rFonts w:eastAsia="FangSong_GB2312" w:cs="Times New Roman" w:hint="eastAsia"/>
          <w:b/>
          <w:bCs/>
          <w:sz w:val="32"/>
          <w:szCs w:val="32"/>
        </w:rPr>
        <w:t>”</w:t>
      </w:r>
      <w:r>
        <w:rPr>
          <w:rFonts w:eastAsia="FangSong_GB2312" w:cs="Times New Roman"/>
          <w:b/>
          <w:bCs/>
          <w:sz w:val="32"/>
          <w:szCs w:val="32"/>
        </w:rPr>
        <w:t>运输机场体系。</w:t>
      </w:r>
      <w:r>
        <w:rPr>
          <w:rFonts w:eastAsia="FangSong_GB2312" w:cs="Times New Roman"/>
          <w:sz w:val="32"/>
          <w:szCs w:val="32"/>
        </w:rPr>
        <w:t>以海口美兰机场为主区域枢纽机场，以三亚凤凰机场为次区域枢纽机场，以琼海博鳌机场、儋州机场为支线机场，以东方机场</w:t>
      </w:r>
      <w:r>
        <w:rPr>
          <w:rFonts w:eastAsia="FangSong_GB2312" w:cs="Times New Roman" w:hint="eastAsia"/>
          <w:sz w:val="32"/>
          <w:szCs w:val="32"/>
        </w:rPr>
        <w:t>为</w:t>
      </w:r>
      <w:r>
        <w:rPr>
          <w:rFonts w:eastAsia="FangSong_GB2312" w:cs="Times New Roman"/>
          <w:sz w:val="32"/>
          <w:szCs w:val="32"/>
        </w:rPr>
        <w:t>货运</w:t>
      </w:r>
      <w:r>
        <w:rPr>
          <w:rFonts w:eastAsia="FangSong_GB2312" w:cs="Times New Roman" w:hint="eastAsia"/>
          <w:sz w:val="32"/>
          <w:szCs w:val="32"/>
        </w:rPr>
        <w:t>特色</w:t>
      </w:r>
      <w:r>
        <w:rPr>
          <w:rFonts w:eastAsia="FangSong_GB2312" w:cs="Times New Roman"/>
          <w:sz w:val="32"/>
          <w:szCs w:val="32"/>
        </w:rPr>
        <w:t>机场，大幅提升供给能力和</w:t>
      </w:r>
      <w:r>
        <w:rPr>
          <w:rFonts w:eastAsia="FangSong_GB2312" w:cs="Times New Roman" w:hint="eastAsia"/>
          <w:sz w:val="32"/>
          <w:szCs w:val="32"/>
        </w:rPr>
        <w:t>综合</w:t>
      </w:r>
      <w:r>
        <w:rPr>
          <w:rFonts w:eastAsia="FangSong_GB2312" w:cs="Times New Roman"/>
          <w:sz w:val="32"/>
          <w:szCs w:val="32"/>
        </w:rPr>
        <w:t>服务保障能力。</w:t>
      </w:r>
    </w:p>
    <w:tbl>
      <w:tblPr>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4"/>
      </w:tblGrid>
      <w:tr w:rsidR="00000000" w14:paraId="0FF9491E" w14:textId="77777777">
        <w:trPr>
          <w:trHeight w:val="662"/>
          <w:jc w:val="center"/>
        </w:trPr>
        <w:tc>
          <w:tcPr>
            <w:tcW w:w="5000" w:type="pct"/>
          </w:tcPr>
          <w:p w14:paraId="7293177F" w14:textId="77777777" w:rsidR="00000000" w:rsidRDefault="00000000">
            <w:pPr>
              <w:spacing w:line="560" w:lineRule="exact"/>
              <w:jc w:val="center"/>
              <w:rPr>
                <w:rFonts w:ascii="FangSong_GB2312" w:eastAsia="FangSong_GB2312" w:hAnsi="FangSong_GB2312" w:cs="FangSong_GB2312" w:hint="eastAsia"/>
                <w:b/>
                <w:bCs/>
                <w:sz w:val="32"/>
                <w:szCs w:val="32"/>
              </w:rPr>
            </w:pPr>
            <w:r>
              <w:rPr>
                <w:rFonts w:ascii="SimHei" w:eastAsia="SimHei" w:hAnsi="SimHei" w:cs="SimHei" w:hint="eastAsia"/>
                <w:sz w:val="32"/>
                <w:szCs w:val="32"/>
              </w:rPr>
              <w:t>专栏2  “一主一次、两支一货运”运输机场体系</w:t>
            </w:r>
          </w:p>
        </w:tc>
      </w:tr>
      <w:tr w:rsidR="00000000" w14:paraId="73242EA9" w14:textId="77777777">
        <w:trPr>
          <w:trHeight w:val="1678"/>
          <w:jc w:val="center"/>
        </w:trPr>
        <w:tc>
          <w:tcPr>
            <w:tcW w:w="5000" w:type="pct"/>
            <w:vAlign w:val="center"/>
          </w:tcPr>
          <w:p w14:paraId="6976BF9D" w14:textId="77777777" w:rsidR="00000000" w:rsidRDefault="00000000">
            <w:pPr>
              <w:spacing w:line="600" w:lineRule="exact"/>
              <w:ind w:firstLineChars="200" w:firstLine="650"/>
              <w:jc w:val="left"/>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rPr>
              <w:t>“一主”：</w:t>
            </w:r>
            <w:r>
              <w:rPr>
                <w:rFonts w:ascii="FangSong_GB2312" w:eastAsia="FangSong_GB2312" w:hAnsi="FangSong_GB2312" w:cs="FangSong_GB2312" w:hint="eastAsia"/>
                <w:sz w:val="32"/>
                <w:szCs w:val="32"/>
              </w:rPr>
              <w:t>海口机场，全省主区域枢纽机场。</w:t>
            </w:r>
          </w:p>
          <w:p w14:paraId="0BA1E153" w14:textId="77777777" w:rsidR="00000000" w:rsidRDefault="00000000">
            <w:pPr>
              <w:spacing w:line="60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“一次”：</w:t>
            </w:r>
            <w:r>
              <w:rPr>
                <w:rFonts w:ascii="FangSong_GB2312" w:eastAsia="FangSong_GB2312" w:hAnsi="FangSong_GB2312" w:cs="FangSong_GB2312" w:hint="eastAsia"/>
                <w:sz w:val="32"/>
                <w:szCs w:val="32"/>
              </w:rPr>
              <w:t>三亚机场，全省次区域枢纽机场。</w:t>
            </w:r>
          </w:p>
          <w:p w14:paraId="5C4DE738" w14:textId="77777777" w:rsidR="00000000" w:rsidRDefault="00000000">
            <w:pPr>
              <w:spacing w:line="60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“两支”：</w:t>
            </w:r>
            <w:r>
              <w:rPr>
                <w:rFonts w:ascii="FangSong_GB2312" w:eastAsia="FangSong_GB2312" w:hAnsi="FangSong_GB2312" w:cs="FangSong_GB2312" w:hint="eastAsia"/>
                <w:sz w:val="32"/>
                <w:szCs w:val="32"/>
              </w:rPr>
              <w:t>琼海博鳌支线机场、儋州支线机场。</w:t>
            </w:r>
          </w:p>
          <w:p w14:paraId="33AC46C8" w14:textId="77777777" w:rsidR="00000000" w:rsidRDefault="00000000">
            <w:pPr>
              <w:spacing w:line="60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“一货运”：</w:t>
            </w:r>
            <w:r>
              <w:rPr>
                <w:rFonts w:ascii="FangSong_GB2312" w:eastAsia="FangSong_GB2312" w:hAnsi="FangSong_GB2312" w:cs="FangSong_GB2312" w:hint="eastAsia"/>
                <w:sz w:val="32"/>
                <w:szCs w:val="32"/>
              </w:rPr>
              <w:t>东方客运支线机场（货运特色机场）。</w:t>
            </w:r>
          </w:p>
        </w:tc>
      </w:tr>
    </w:tbl>
    <w:p w14:paraId="4E1EF896" w14:textId="77777777" w:rsidR="00000000" w:rsidRDefault="00000000">
      <w:pPr>
        <w:spacing w:line="604" w:lineRule="exact"/>
        <w:ind w:firstLineChars="200" w:firstLine="650"/>
        <w:rPr>
          <w:rFonts w:eastAsia="FangSong_GB2312" w:cs="Times New Roman"/>
          <w:sz w:val="32"/>
          <w:szCs w:val="32"/>
        </w:rPr>
      </w:pPr>
      <w:r>
        <w:rPr>
          <w:rFonts w:eastAsia="FangSong_GB2312" w:cs="Times New Roman"/>
          <w:b/>
          <w:bCs/>
          <w:sz w:val="32"/>
          <w:szCs w:val="32"/>
        </w:rPr>
        <w:t>加快构建</w:t>
      </w:r>
      <w:r>
        <w:rPr>
          <w:rFonts w:eastAsia="FangSong_GB2312" w:cs="Times New Roman" w:hint="eastAsia"/>
          <w:b/>
          <w:bCs/>
          <w:sz w:val="32"/>
          <w:szCs w:val="32"/>
        </w:rPr>
        <w:t>“</w:t>
      </w:r>
      <w:r>
        <w:rPr>
          <w:rFonts w:eastAsia="FangSong_GB2312" w:cs="Times New Roman"/>
          <w:b/>
          <w:bCs/>
          <w:sz w:val="32"/>
          <w:szCs w:val="32"/>
        </w:rPr>
        <w:t>一环一线、两渡多支</w:t>
      </w:r>
      <w:r>
        <w:rPr>
          <w:rFonts w:eastAsia="FangSong_GB2312" w:cs="Times New Roman" w:hint="eastAsia"/>
          <w:b/>
          <w:bCs/>
          <w:sz w:val="32"/>
          <w:szCs w:val="32"/>
        </w:rPr>
        <w:t>”</w:t>
      </w:r>
      <w:r>
        <w:rPr>
          <w:rFonts w:eastAsia="FangSong_GB2312" w:cs="Times New Roman"/>
          <w:b/>
          <w:bCs/>
          <w:sz w:val="32"/>
          <w:szCs w:val="32"/>
        </w:rPr>
        <w:t>铁路网布局。</w:t>
      </w:r>
      <w:r>
        <w:rPr>
          <w:rFonts w:eastAsia="FangSong_GB2312" w:cs="Times New Roman"/>
          <w:sz w:val="32"/>
          <w:szCs w:val="32"/>
        </w:rPr>
        <w:t>以海南环岛高铁为骨架，以既有</w:t>
      </w:r>
      <w:r>
        <w:rPr>
          <w:rFonts w:eastAsia="FangSong_GB2312" w:cs="Times New Roman" w:hint="eastAsia"/>
          <w:sz w:val="32"/>
          <w:szCs w:val="32"/>
        </w:rPr>
        <w:t>海南</w:t>
      </w:r>
      <w:r>
        <w:rPr>
          <w:rFonts w:eastAsia="FangSong_GB2312" w:cs="Times New Roman"/>
          <w:sz w:val="32"/>
          <w:szCs w:val="32"/>
        </w:rPr>
        <w:t>西环铁路为支撑，以湛海高铁和粤海铁路轮渡拓</w:t>
      </w:r>
      <w:r>
        <w:rPr>
          <w:rFonts w:eastAsia="FangSong_GB2312" w:cs="Times New Roman" w:hint="eastAsia"/>
          <w:sz w:val="32"/>
          <w:szCs w:val="32"/>
        </w:rPr>
        <w:t>展</w:t>
      </w:r>
      <w:r>
        <w:rPr>
          <w:rFonts w:eastAsia="FangSong_GB2312" w:cs="Times New Roman"/>
          <w:sz w:val="32"/>
          <w:szCs w:val="32"/>
        </w:rPr>
        <w:t>铁海联动，以儋州至洋浦铁路、乐东港支线</w:t>
      </w:r>
      <w:r>
        <w:rPr>
          <w:rFonts w:eastAsia="FangSong_GB2312" w:cs="Times New Roman" w:hint="eastAsia"/>
          <w:sz w:val="32"/>
          <w:szCs w:val="32"/>
        </w:rPr>
        <w:t>、东方</w:t>
      </w:r>
      <w:r>
        <w:rPr>
          <w:rFonts w:eastAsia="FangSong_GB2312" w:cs="Times New Roman"/>
          <w:sz w:val="32"/>
          <w:szCs w:val="32"/>
        </w:rPr>
        <w:t>高排港支线等实现与港口联通，强化岛内资源要素全域流动，完善重点区域和港口的末梢连接。</w:t>
      </w:r>
    </w:p>
    <w:tbl>
      <w:tblPr>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4"/>
      </w:tblGrid>
      <w:tr w:rsidR="00000000" w14:paraId="740025D2" w14:textId="77777777">
        <w:trPr>
          <w:trHeight w:val="696"/>
          <w:jc w:val="center"/>
        </w:trPr>
        <w:tc>
          <w:tcPr>
            <w:tcW w:w="5000" w:type="pct"/>
            <w:vAlign w:val="center"/>
          </w:tcPr>
          <w:p w14:paraId="1533819D" w14:textId="77777777" w:rsidR="00000000" w:rsidRDefault="00000000">
            <w:pPr>
              <w:spacing w:line="360" w:lineRule="exact"/>
              <w:jc w:val="center"/>
              <w:rPr>
                <w:rFonts w:ascii="FangSong_GB2312" w:eastAsia="FangSong_GB2312" w:hAnsi="FangSong_GB2312" w:cs="FangSong_GB2312" w:hint="eastAsia"/>
                <w:b/>
                <w:bCs/>
                <w:sz w:val="32"/>
                <w:szCs w:val="32"/>
              </w:rPr>
            </w:pPr>
            <w:r>
              <w:rPr>
                <w:rFonts w:ascii="SimHei" w:eastAsia="SimHei" w:hAnsi="SimHei" w:cs="SimHei" w:hint="eastAsia"/>
                <w:sz w:val="32"/>
                <w:szCs w:val="32"/>
              </w:rPr>
              <w:t>专栏3  “一环一线、两渡多支”铁路网布局</w:t>
            </w:r>
          </w:p>
        </w:tc>
      </w:tr>
      <w:tr w:rsidR="00000000" w14:paraId="1858289E" w14:textId="77777777">
        <w:trPr>
          <w:jc w:val="center"/>
        </w:trPr>
        <w:tc>
          <w:tcPr>
            <w:tcW w:w="5000" w:type="pct"/>
          </w:tcPr>
          <w:p w14:paraId="44B7D58F" w14:textId="77777777" w:rsidR="00000000" w:rsidRDefault="00000000">
            <w:pPr>
              <w:spacing w:line="58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“一环”：</w:t>
            </w:r>
            <w:r>
              <w:rPr>
                <w:rFonts w:ascii="FangSong_GB2312" w:eastAsia="FangSong_GB2312" w:hAnsi="FangSong_GB2312" w:cs="FangSong_GB2312" w:hint="eastAsia"/>
                <w:sz w:val="32"/>
                <w:szCs w:val="32"/>
              </w:rPr>
              <w:t>海南环岛高铁。</w:t>
            </w:r>
          </w:p>
          <w:p w14:paraId="5B88BAEB" w14:textId="77777777" w:rsidR="00000000" w:rsidRDefault="00000000">
            <w:pPr>
              <w:spacing w:line="58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“一线”：</w:t>
            </w:r>
            <w:r>
              <w:rPr>
                <w:rFonts w:ascii="FangSong_GB2312" w:eastAsia="FangSong_GB2312" w:hAnsi="FangSong_GB2312" w:cs="FangSong_GB2312" w:hint="eastAsia"/>
                <w:sz w:val="32"/>
                <w:szCs w:val="32"/>
              </w:rPr>
              <w:t>海南西环普速铁路。</w:t>
            </w:r>
          </w:p>
          <w:p w14:paraId="2777BFC2" w14:textId="77777777" w:rsidR="00000000" w:rsidRDefault="00000000">
            <w:pPr>
              <w:spacing w:line="58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“两渡”：</w:t>
            </w:r>
            <w:r>
              <w:rPr>
                <w:rFonts w:ascii="FangSong_GB2312" w:eastAsia="FangSong_GB2312" w:hAnsi="FangSong_GB2312" w:cs="FangSong_GB2312" w:hint="eastAsia"/>
                <w:sz w:val="32"/>
                <w:szCs w:val="32"/>
              </w:rPr>
              <w:t>新建湛江至海口跨海轮渡及相关线路工程（湛海高铁）、粤海铁路轮渡。</w:t>
            </w:r>
          </w:p>
          <w:p w14:paraId="38044F04" w14:textId="77777777" w:rsidR="00000000" w:rsidRDefault="00000000">
            <w:pPr>
              <w:spacing w:line="58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lastRenderedPageBreak/>
              <w:t>“多支”：</w:t>
            </w:r>
            <w:r>
              <w:rPr>
                <w:rFonts w:ascii="FangSong_GB2312" w:eastAsia="FangSong_GB2312" w:hAnsi="FangSong_GB2312" w:cs="FangSong_GB2312" w:hint="eastAsia"/>
                <w:sz w:val="32"/>
                <w:szCs w:val="32"/>
              </w:rPr>
              <w:t>儋州至洋浦铁路、澄迈新型生态环保建材产业基地铁路支线、昌八铁路支线、叉石铁路支线、乐东港铁路支线、东方高排港铁路支线等。</w:t>
            </w:r>
          </w:p>
        </w:tc>
      </w:tr>
    </w:tbl>
    <w:p w14:paraId="091AF8EA"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lastRenderedPageBreak/>
        <w:t>大力拓展“四环五廊多联”全岛重要公路网布局。</w:t>
      </w:r>
      <w:r>
        <w:rPr>
          <w:rFonts w:ascii="FangSong_GB2312" w:eastAsia="FangSong_GB2312" w:hAnsi="FangSong_GB2312" w:cs="FangSong_GB2312" w:hint="eastAsia"/>
          <w:sz w:val="32"/>
          <w:szCs w:val="32"/>
        </w:rPr>
        <w:t>以G98环岛高速公路、环岛旅游公路、环热带雨林国家公园旅游公路、环岛国道等为纽带，以海口、三亚、儋州（洋浦）为核心，形成辐射全岛的高速与干线公路廊道，强化综合交通枢纽与三大经济圈及城镇组团、产业园区的快速联通，提升路网韧性和应急保障能力，促进“全岛同城化”和资源要素高效流动。</w:t>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4"/>
      </w:tblGrid>
      <w:tr w:rsidR="00000000" w14:paraId="27DF495A" w14:textId="77777777">
        <w:trPr>
          <w:trHeight w:val="657"/>
        </w:trPr>
        <w:tc>
          <w:tcPr>
            <w:tcW w:w="5000" w:type="pct"/>
            <w:vAlign w:val="center"/>
          </w:tcPr>
          <w:p w14:paraId="6ACBCF5E" w14:textId="77777777" w:rsidR="00000000" w:rsidRDefault="00000000">
            <w:pPr>
              <w:spacing w:line="360" w:lineRule="exact"/>
              <w:jc w:val="center"/>
              <w:rPr>
                <w:rFonts w:ascii="SimHei" w:eastAsia="SimHei" w:hAnsi="SimHei" w:cs="SimHei" w:hint="eastAsia"/>
                <w:sz w:val="32"/>
                <w:szCs w:val="32"/>
              </w:rPr>
            </w:pPr>
            <w:r>
              <w:rPr>
                <w:rFonts w:ascii="SimHei" w:eastAsia="SimHei" w:hAnsi="SimHei" w:cs="SimHei" w:hint="eastAsia"/>
                <w:sz w:val="32"/>
                <w:szCs w:val="32"/>
              </w:rPr>
              <w:t>专栏4  “四环五廊多联”全岛重要公路网布局</w:t>
            </w:r>
          </w:p>
        </w:tc>
      </w:tr>
      <w:tr w:rsidR="00000000" w14:paraId="4FAEB774" w14:textId="77777777">
        <w:tc>
          <w:tcPr>
            <w:tcW w:w="5000" w:type="pct"/>
          </w:tcPr>
          <w:p w14:paraId="3C0DD371" w14:textId="77777777" w:rsidR="00000000" w:rsidRDefault="00000000">
            <w:pPr>
              <w:spacing w:line="62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“四环”：</w:t>
            </w:r>
            <w:r>
              <w:rPr>
                <w:rFonts w:ascii="FangSong_GB2312" w:eastAsia="FangSong_GB2312" w:hAnsi="FangSong_GB2312" w:cs="FangSong_GB2312" w:hint="eastAsia"/>
                <w:sz w:val="32"/>
                <w:szCs w:val="32"/>
              </w:rPr>
              <w:t>G98海南环岛高速公路，环岛旅游公路，环热带雨林国家公园旅游公路，环岛国道（含G223海榆东线与G225海榆西线）。</w:t>
            </w:r>
          </w:p>
          <w:p w14:paraId="79757668" w14:textId="77777777" w:rsidR="00000000" w:rsidRDefault="00000000">
            <w:pPr>
              <w:spacing w:line="62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“五廊”：</w:t>
            </w:r>
            <w:r>
              <w:rPr>
                <w:rFonts w:ascii="FangSong_GB2312" w:eastAsia="FangSong_GB2312" w:hAnsi="FangSong_GB2312" w:cs="FangSong_GB2312" w:hint="eastAsia"/>
                <w:sz w:val="32"/>
                <w:szCs w:val="32"/>
              </w:rPr>
              <w:t>G9811海口至乐东高速（与G224海榆中线共用廊道）、G75兰海高速海口段（规划）、G360文昌—临高高速公路、G9813万宁—洋浦高速公路（与G642万宁至洋浦公路共用廊道）、G361陵昌线（与什运—白沙高速公路共用廊道，在建）。</w:t>
            </w:r>
          </w:p>
          <w:p w14:paraId="2A4C6440" w14:textId="77777777" w:rsidR="00000000" w:rsidRDefault="00000000">
            <w:pPr>
              <w:spacing w:line="62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“多联”：</w:t>
            </w:r>
            <w:r>
              <w:rPr>
                <w:rFonts w:ascii="FangSong_GB2312" w:eastAsia="FangSong_GB2312" w:hAnsi="FangSong_GB2312" w:cs="FangSong_GB2312" w:hint="eastAsia"/>
                <w:sz w:val="32"/>
                <w:szCs w:val="32"/>
              </w:rPr>
              <w:t>G9812海口至琼海高速公路（含S86中原—会山）、G98环岛高速公路大三亚段扩容（在建）、G15沈海高速海口段、S</w:t>
            </w:r>
            <w:r>
              <w:rPr>
                <w:rFonts w:ascii="FangSong_GB2312" w:eastAsia="FangSong_GB2312" w:hAnsi="FangSong_GB2312" w:cs="FangSong_GB2312" w:hint="eastAsia"/>
                <w:spacing w:val="-6"/>
                <w:sz w:val="32"/>
                <w:szCs w:val="32"/>
              </w:rPr>
              <w:t>88洋浦疏港高速公路、S11海口—白沙高速公路、S10五指山</w:t>
            </w:r>
            <w:r>
              <w:rPr>
                <w:rFonts w:ascii="FangSong_GB2312" w:eastAsia="FangSong_GB2312" w:hAnsi="FangSong_GB2312" w:cs="FangSong_GB2312" w:hint="eastAsia"/>
                <w:sz w:val="32"/>
                <w:szCs w:val="32"/>
              </w:rPr>
              <w:t>—海棠湾高速公路、S85新海港—荣山互通、S87</w:t>
            </w:r>
            <w:r>
              <w:rPr>
                <w:rFonts w:ascii="FangSong_GB2312" w:eastAsia="FangSong_GB2312" w:hAnsi="FangSong_GB2312" w:cs="FangSong_GB2312" w:hint="eastAsia"/>
                <w:sz w:val="32"/>
                <w:szCs w:val="32"/>
              </w:rPr>
              <w:lastRenderedPageBreak/>
              <w:t>美兰机场快速通道。</w:t>
            </w:r>
          </w:p>
        </w:tc>
      </w:tr>
    </w:tbl>
    <w:p w14:paraId="7CC0AC90" w14:textId="77777777" w:rsidR="00000000" w:rsidRDefault="00000000">
      <w:pPr>
        <w:spacing w:line="580" w:lineRule="exact"/>
        <w:ind w:firstLineChars="200" w:firstLine="650"/>
        <w:rPr>
          <w:rFonts w:eastAsia="FangSong_GB2312" w:cs="Times New Roman"/>
          <w:sz w:val="32"/>
          <w:szCs w:val="32"/>
        </w:rPr>
      </w:pPr>
      <w:r>
        <w:rPr>
          <w:rFonts w:eastAsia="FangSong_GB2312" w:cs="Times New Roman"/>
          <w:b/>
          <w:bCs/>
          <w:sz w:val="32"/>
          <w:szCs w:val="32"/>
        </w:rPr>
        <w:lastRenderedPageBreak/>
        <w:t>持续完善</w:t>
      </w:r>
      <w:r>
        <w:rPr>
          <w:rFonts w:eastAsia="FangSong_GB2312" w:cs="Times New Roman" w:hint="eastAsia"/>
          <w:b/>
          <w:bCs/>
          <w:sz w:val="32"/>
          <w:szCs w:val="32"/>
        </w:rPr>
        <w:t>“</w:t>
      </w:r>
      <w:r>
        <w:rPr>
          <w:rFonts w:eastAsia="FangSong_GB2312" w:cs="Times New Roman"/>
          <w:b/>
          <w:bCs/>
          <w:sz w:val="32"/>
          <w:szCs w:val="32"/>
        </w:rPr>
        <w:t>双核四强</w:t>
      </w:r>
      <w:r>
        <w:rPr>
          <w:rFonts w:eastAsia="FangSong_GB2312" w:cs="Times New Roman" w:hint="eastAsia"/>
          <w:b/>
          <w:bCs/>
          <w:sz w:val="32"/>
          <w:szCs w:val="32"/>
        </w:rPr>
        <w:t>”</w:t>
      </w:r>
      <w:r>
        <w:rPr>
          <w:rFonts w:eastAsia="FangSong_GB2312" w:cs="Times New Roman"/>
          <w:b/>
          <w:bCs/>
          <w:sz w:val="32"/>
          <w:szCs w:val="32"/>
        </w:rPr>
        <w:t>全省港口布局</w:t>
      </w:r>
      <w:r>
        <w:rPr>
          <w:rFonts w:eastAsia="FangSong_GB2312" w:cs="Times New Roman"/>
          <w:sz w:val="32"/>
          <w:szCs w:val="32"/>
        </w:rPr>
        <w:t>。以洋浦国际枢纽港为龙头、海口港为重点，八所港、三亚港、文昌港、琼海港等地区性重要港口共同发展，其他港口为补充，加快打造具有国际竞争力的高能级港口群。将洋浦港建设为区域集装箱枢纽港、海南西部港产城融合集聚区的龙头枢纽和开放创新的航运服务中心，提升海口港作为综合性港口和面向大陆的水陆门户枢纽、三亚港作为国际邮轮港以及</w:t>
      </w:r>
      <w:r>
        <w:rPr>
          <w:rFonts w:eastAsia="FangSong_GB2312" w:cs="Times New Roman" w:hint="eastAsia"/>
          <w:sz w:val="32"/>
          <w:szCs w:val="32"/>
        </w:rPr>
        <w:t>其他</w:t>
      </w:r>
      <w:r>
        <w:rPr>
          <w:rFonts w:eastAsia="FangSong_GB2312" w:cs="Times New Roman"/>
          <w:sz w:val="32"/>
          <w:szCs w:val="32"/>
        </w:rPr>
        <w:t>地区性港口的发展水平。</w:t>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4"/>
      </w:tblGrid>
      <w:tr w:rsidR="00000000" w14:paraId="1C450839" w14:textId="77777777">
        <w:trPr>
          <w:trHeight w:val="612"/>
        </w:trPr>
        <w:tc>
          <w:tcPr>
            <w:tcW w:w="5000" w:type="pct"/>
            <w:vAlign w:val="center"/>
          </w:tcPr>
          <w:p w14:paraId="06A8FED6" w14:textId="77777777" w:rsidR="00000000" w:rsidRDefault="00000000">
            <w:pPr>
              <w:spacing w:line="360" w:lineRule="exact"/>
              <w:jc w:val="center"/>
              <w:rPr>
                <w:rFonts w:ascii="SimHei" w:eastAsia="SimHei" w:hAnsi="SimHei" w:cs="SimHei" w:hint="eastAsia"/>
                <w:sz w:val="32"/>
                <w:szCs w:val="32"/>
              </w:rPr>
            </w:pPr>
            <w:r>
              <w:rPr>
                <w:rFonts w:ascii="SimHei" w:eastAsia="SimHei" w:hAnsi="SimHei" w:cs="SimHei" w:hint="eastAsia"/>
                <w:sz w:val="32"/>
                <w:szCs w:val="32"/>
              </w:rPr>
              <w:t>专栏5  “双核四强”港口布局</w:t>
            </w:r>
          </w:p>
        </w:tc>
      </w:tr>
      <w:tr w:rsidR="00000000" w14:paraId="2F85AB96" w14:textId="77777777">
        <w:tc>
          <w:tcPr>
            <w:tcW w:w="5000" w:type="pct"/>
          </w:tcPr>
          <w:p w14:paraId="1F593A31" w14:textId="77777777" w:rsidR="00000000" w:rsidRDefault="00000000">
            <w:pPr>
              <w:spacing w:line="58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“双核”：</w:t>
            </w:r>
            <w:r>
              <w:rPr>
                <w:rFonts w:ascii="FangSong_GB2312" w:eastAsia="FangSong_GB2312" w:hAnsi="FangSong_GB2312" w:cs="FangSong_GB2312" w:hint="eastAsia"/>
                <w:sz w:val="32"/>
                <w:szCs w:val="32"/>
              </w:rPr>
              <w:t>洋浦国际枢纽港、海口港两大全国主要港口。</w:t>
            </w:r>
          </w:p>
          <w:p w14:paraId="3D1A2837" w14:textId="77777777" w:rsidR="00000000" w:rsidRDefault="00000000">
            <w:pPr>
              <w:spacing w:line="58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“四强”：</w:t>
            </w:r>
            <w:r>
              <w:rPr>
                <w:rFonts w:ascii="FangSong_GB2312" w:eastAsia="FangSong_GB2312" w:hAnsi="FangSong_GB2312" w:cs="FangSong_GB2312" w:hint="eastAsia"/>
                <w:sz w:val="32"/>
                <w:szCs w:val="32"/>
              </w:rPr>
              <w:t>八所港、三亚港、文昌港、琼海港等地区性重要港口。</w:t>
            </w:r>
          </w:p>
        </w:tc>
      </w:tr>
    </w:tbl>
    <w:p w14:paraId="361458A8" w14:textId="77777777" w:rsidR="00000000" w:rsidRDefault="00000000">
      <w:pPr>
        <w:spacing w:line="580" w:lineRule="exact"/>
        <w:ind w:firstLineChars="200" w:firstLine="650"/>
        <w:rPr>
          <w:rFonts w:eastAsia="FangSong_GB2312" w:cs="Times New Roman"/>
          <w:sz w:val="32"/>
          <w:szCs w:val="32"/>
        </w:rPr>
      </w:pPr>
      <w:r>
        <w:rPr>
          <w:rFonts w:eastAsia="FangSong_GB2312" w:cs="Times New Roman"/>
          <w:b/>
          <w:bCs/>
          <w:sz w:val="32"/>
          <w:szCs w:val="32"/>
        </w:rPr>
        <w:t>积极构建</w:t>
      </w:r>
      <w:r>
        <w:rPr>
          <w:rFonts w:eastAsia="FangSong_GB2312" w:cs="Times New Roman" w:hint="eastAsia"/>
          <w:b/>
          <w:bCs/>
          <w:sz w:val="32"/>
          <w:szCs w:val="32"/>
        </w:rPr>
        <w:t>“</w:t>
      </w:r>
      <w:r>
        <w:rPr>
          <w:rFonts w:eastAsia="FangSong_GB2312" w:cs="Times New Roman"/>
          <w:b/>
          <w:bCs/>
          <w:sz w:val="32"/>
          <w:szCs w:val="32"/>
        </w:rPr>
        <w:t>环岛跨海、多点组网、全域监管</w:t>
      </w:r>
      <w:r>
        <w:rPr>
          <w:rFonts w:eastAsia="FangSong_GB2312" w:cs="Times New Roman" w:hint="eastAsia"/>
          <w:b/>
          <w:bCs/>
          <w:sz w:val="32"/>
          <w:szCs w:val="32"/>
        </w:rPr>
        <w:t>”</w:t>
      </w:r>
      <w:r>
        <w:rPr>
          <w:rFonts w:eastAsia="FangSong_GB2312" w:cs="Times New Roman"/>
          <w:b/>
          <w:bCs/>
          <w:sz w:val="32"/>
          <w:szCs w:val="32"/>
        </w:rPr>
        <w:t>低空飞行体系。</w:t>
      </w:r>
      <w:r>
        <w:rPr>
          <w:rFonts w:eastAsia="FangSong_GB2312" w:cs="Times New Roman"/>
          <w:sz w:val="32"/>
          <w:szCs w:val="32"/>
        </w:rPr>
        <w:t>聚焦环岛及跨琼州海峡运输、公共服务、生产作业、岛屿物流运输等应用场景，布局环岛、跨海低空航路网络，推动通用机场建设及升级改造，布局建设低空垂直起降设施、低空智能网联系统，强化低空与陆海立体交通衔接，逐步构建起覆盖全域、功能协同的低空服务监管体系。</w:t>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4"/>
      </w:tblGrid>
      <w:tr w:rsidR="00000000" w14:paraId="40889A89" w14:textId="77777777">
        <w:trPr>
          <w:trHeight w:val="740"/>
        </w:trPr>
        <w:tc>
          <w:tcPr>
            <w:tcW w:w="5000" w:type="pct"/>
            <w:vAlign w:val="center"/>
          </w:tcPr>
          <w:p w14:paraId="459A0397" w14:textId="77777777" w:rsidR="00000000" w:rsidRDefault="00000000">
            <w:pPr>
              <w:spacing w:line="600" w:lineRule="exact"/>
              <w:jc w:val="center"/>
              <w:rPr>
                <w:rFonts w:ascii="SimHei" w:eastAsia="SimHei" w:hAnsi="SimHei" w:cs="SimHei" w:hint="eastAsia"/>
                <w:sz w:val="32"/>
                <w:szCs w:val="32"/>
              </w:rPr>
            </w:pPr>
            <w:r>
              <w:rPr>
                <w:rFonts w:ascii="SimHei" w:eastAsia="SimHei" w:hAnsi="SimHei" w:cs="SimHei" w:hint="eastAsia"/>
                <w:sz w:val="32"/>
                <w:szCs w:val="32"/>
              </w:rPr>
              <w:t>专栏6  “环岛跨海、多点组网、全域监管”低空飞行体系</w:t>
            </w:r>
          </w:p>
        </w:tc>
      </w:tr>
      <w:tr w:rsidR="00000000" w14:paraId="0FD52490" w14:textId="77777777">
        <w:tc>
          <w:tcPr>
            <w:tcW w:w="5000" w:type="pct"/>
          </w:tcPr>
          <w:p w14:paraId="539D5C13" w14:textId="77777777" w:rsidR="00000000" w:rsidRDefault="00000000">
            <w:pPr>
              <w:spacing w:line="570" w:lineRule="exact"/>
              <w:ind w:firstLineChars="200" w:firstLine="650"/>
              <w:jc w:val="left"/>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rPr>
              <w:t>环岛跨海：</w:t>
            </w:r>
            <w:r>
              <w:rPr>
                <w:rFonts w:ascii="FangSong_GB2312" w:eastAsia="FangSong_GB2312" w:hAnsi="FangSong_GB2312" w:cs="FangSong_GB2312" w:hint="eastAsia"/>
                <w:sz w:val="32"/>
                <w:szCs w:val="32"/>
              </w:rPr>
              <w:t>推动通用机场建设及升级改造，布局建设一批低空垂直起降设施，建设低空航路，打造环岛、跨海低空信息基础设施示范区。</w:t>
            </w:r>
          </w:p>
          <w:p w14:paraId="56E22ABB" w14:textId="77777777" w:rsidR="00000000" w:rsidRDefault="00000000">
            <w:pPr>
              <w:spacing w:line="57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lastRenderedPageBreak/>
              <w:t>多点组网：</w:t>
            </w:r>
            <w:r>
              <w:rPr>
                <w:rFonts w:ascii="FangSong_GB2312" w:eastAsia="FangSong_GB2312" w:hAnsi="FangSong_GB2312" w:cs="FangSong_GB2312" w:hint="eastAsia"/>
                <w:sz w:val="32"/>
                <w:szCs w:val="32"/>
              </w:rPr>
              <w:t>在重点驿站、文旅集聚区、交通不便区域、重点乡镇、产业园区、应急站点等区域布局低空设施，服务各类低空应用场景。</w:t>
            </w:r>
          </w:p>
          <w:p w14:paraId="3D8E1C01" w14:textId="77777777" w:rsidR="00000000" w:rsidRDefault="00000000">
            <w:pPr>
              <w:spacing w:line="57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全域监管：</w:t>
            </w:r>
            <w:r>
              <w:rPr>
                <w:rFonts w:ascii="FangSong_GB2312" w:eastAsia="FangSong_GB2312" w:hAnsi="FangSong_GB2312" w:cs="FangSong_GB2312" w:hint="eastAsia"/>
                <w:sz w:val="32"/>
                <w:szCs w:val="32"/>
              </w:rPr>
              <w:t>建设省级低空智能网联系统，强化低空服务监管体系和运行支撑。</w:t>
            </w:r>
          </w:p>
        </w:tc>
      </w:tr>
    </w:tbl>
    <w:p w14:paraId="7EE865C0"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63" w:name="_Toc916543836"/>
      <w:bookmarkStart w:id="64" w:name="_Toc308365453"/>
      <w:bookmarkStart w:id="65" w:name="_Toc1167354428"/>
      <w:bookmarkStart w:id="66" w:name="_Toc20886"/>
      <w:bookmarkStart w:id="67" w:name="_Toc1106742143"/>
      <w:bookmarkStart w:id="68" w:name="_Toc146172692"/>
      <w:bookmarkStart w:id="69" w:name="_Toc1869594189"/>
      <w:bookmarkStart w:id="70" w:name="_Toc7905"/>
      <w:r>
        <w:rPr>
          <w:rFonts w:eastAsia="KaiTi_GB2312" w:cs="KaiTi_GB2312" w:hint="eastAsia"/>
          <w:sz w:val="32"/>
          <w:szCs w:val="32"/>
        </w:rPr>
        <w:lastRenderedPageBreak/>
        <w:t>第二节</w:t>
      </w:r>
      <w:r>
        <w:rPr>
          <w:rFonts w:eastAsia="KaiTi_GB2312" w:cs="KaiTi_GB2312" w:hint="eastAsia"/>
          <w:sz w:val="32"/>
          <w:szCs w:val="32"/>
        </w:rPr>
        <w:t xml:space="preserve"> </w:t>
      </w:r>
      <w:r>
        <w:rPr>
          <w:rFonts w:eastAsia="KaiTi_GB2312" w:cs="KaiTi_GB2312" w:hint="eastAsia"/>
          <w:sz w:val="32"/>
          <w:szCs w:val="32"/>
        </w:rPr>
        <w:t>打造自由贸易港交通枢纽体系</w:t>
      </w:r>
      <w:bookmarkEnd w:id="63"/>
      <w:bookmarkEnd w:id="64"/>
      <w:bookmarkEnd w:id="65"/>
      <w:bookmarkEnd w:id="66"/>
      <w:bookmarkEnd w:id="67"/>
      <w:bookmarkEnd w:id="68"/>
      <w:bookmarkEnd w:id="69"/>
      <w:bookmarkEnd w:id="70"/>
    </w:p>
    <w:p w14:paraId="349474DB" w14:textId="77777777" w:rsidR="00000000" w:rsidRDefault="00000000">
      <w:pPr>
        <w:spacing w:line="600" w:lineRule="exact"/>
        <w:ind w:firstLineChars="200" w:firstLine="650"/>
        <w:rPr>
          <w:rFonts w:eastAsia="FangSong_GB2312" w:cs="Times New Roman"/>
          <w:sz w:val="32"/>
          <w:szCs w:val="32"/>
        </w:rPr>
      </w:pPr>
      <w:r>
        <w:rPr>
          <w:rFonts w:eastAsia="FangSong_GB2312" w:cs="Times New Roman"/>
          <w:b/>
          <w:bCs/>
          <w:sz w:val="32"/>
          <w:szCs w:val="32"/>
        </w:rPr>
        <w:t>打造面向太平洋、印度洋的航空区域门户枢纽。</w:t>
      </w:r>
      <w:r>
        <w:rPr>
          <w:rFonts w:eastAsia="FangSong_GB2312" w:cs="Times New Roman"/>
          <w:sz w:val="32"/>
          <w:szCs w:val="32"/>
        </w:rPr>
        <w:t>以提质增效为主线，以完善枢纽功能为重点，以强化全岛统筹为抓手，适度超前推进全岛机场建设。加快机场枢纽运营人培育，壮大基地航空公司力量，鼓励航空公司在岛内支线机场设立运行基地。支持中外航司在海南合资组建</w:t>
      </w:r>
      <w:r>
        <w:rPr>
          <w:rFonts w:eastAsia="FangSong_GB2312" w:cs="Times New Roman" w:hint="eastAsia"/>
          <w:sz w:val="32"/>
          <w:szCs w:val="32"/>
        </w:rPr>
        <w:t>航司</w:t>
      </w:r>
      <w:r>
        <w:rPr>
          <w:rFonts w:eastAsia="FangSong_GB2312" w:cs="Times New Roman"/>
          <w:sz w:val="32"/>
          <w:szCs w:val="32"/>
        </w:rPr>
        <w:t>，提升海南国际航空运力供给。</w:t>
      </w:r>
    </w:p>
    <w:p w14:paraId="3E53C402" w14:textId="77777777" w:rsidR="00000000" w:rsidRDefault="00000000">
      <w:pPr>
        <w:spacing w:line="600" w:lineRule="exact"/>
        <w:ind w:firstLineChars="200" w:firstLine="650"/>
        <w:rPr>
          <w:rFonts w:eastAsia="FangSong_GB2312" w:cs="Times New Roman"/>
          <w:sz w:val="32"/>
          <w:szCs w:val="32"/>
        </w:rPr>
      </w:pPr>
      <w:r>
        <w:rPr>
          <w:rFonts w:eastAsia="FangSong_GB2312" w:cs="Times New Roman"/>
          <w:b/>
          <w:bCs/>
          <w:sz w:val="32"/>
          <w:szCs w:val="32"/>
        </w:rPr>
        <w:t>打造西部陆海新通道国际航运枢纽。</w:t>
      </w:r>
      <w:r>
        <w:rPr>
          <w:rFonts w:eastAsia="FangSong_GB2312" w:cs="Times New Roman"/>
          <w:sz w:val="32"/>
          <w:szCs w:val="32"/>
        </w:rPr>
        <w:t>以提升港口通过能力、专业化水平和航运服务水平为重点，加快全省港口集群建设。高标准建设洋浦港，畅通海陆双向通道，打造若干临港产业集群。高质量推进海口港转型，加快推动秀英、马村港区功能结构调整。提升地区性港口对地区产业和经济发展的支撑能力。</w:t>
      </w:r>
    </w:p>
    <w:p w14:paraId="2E936163" w14:textId="77777777" w:rsidR="00000000" w:rsidRDefault="00000000">
      <w:pPr>
        <w:spacing w:line="600" w:lineRule="exact"/>
        <w:ind w:firstLineChars="200" w:firstLine="650"/>
        <w:rPr>
          <w:rFonts w:eastAsia="FangSong_GB2312" w:cs="Times New Roman"/>
          <w:sz w:val="32"/>
          <w:szCs w:val="32"/>
        </w:rPr>
      </w:pPr>
      <w:r>
        <w:rPr>
          <w:rFonts w:eastAsia="FangSong_GB2312" w:cs="Times New Roman"/>
          <w:b/>
          <w:bCs/>
          <w:sz w:val="32"/>
          <w:szCs w:val="32"/>
        </w:rPr>
        <w:t>打造现代化综合交通枢纽。</w:t>
      </w:r>
      <w:r>
        <w:rPr>
          <w:rFonts w:eastAsia="FangSong_GB2312" w:cs="Times New Roman"/>
          <w:sz w:val="32"/>
          <w:szCs w:val="32"/>
        </w:rPr>
        <w:t>以</w:t>
      </w:r>
      <w:r>
        <w:rPr>
          <w:rFonts w:eastAsia="FangSong_GB2312" w:cs="Times New Roman" w:hint="eastAsia"/>
          <w:sz w:val="32"/>
          <w:szCs w:val="32"/>
        </w:rPr>
        <w:t>“</w:t>
      </w:r>
      <w:r>
        <w:rPr>
          <w:rFonts w:eastAsia="FangSong_GB2312" w:cs="Times New Roman"/>
          <w:sz w:val="32"/>
          <w:szCs w:val="32"/>
        </w:rPr>
        <w:t>零距离换乘、无缝化衔接</w:t>
      </w:r>
      <w:r>
        <w:rPr>
          <w:rFonts w:eastAsia="FangSong_GB2312" w:cs="Times New Roman" w:hint="eastAsia"/>
          <w:sz w:val="32"/>
          <w:szCs w:val="32"/>
        </w:rPr>
        <w:t>”</w:t>
      </w:r>
      <w:r>
        <w:rPr>
          <w:rFonts w:eastAsia="FangSong_GB2312" w:cs="Times New Roman"/>
          <w:sz w:val="32"/>
          <w:szCs w:val="32"/>
        </w:rPr>
        <w:t>为核心导向，通过设施优化、标准统一、管理协同、信息共享、流程衔接、应急共治，推动综合交通枢纽提质发展。完善枢纽功能与集疏运配套，强化航空与铁路、公路等枢纽的高效联动。围绕海峡滚装运输，加快完善新海港片区集疏运体系，提升公</w:t>
      </w:r>
      <w:r>
        <w:rPr>
          <w:rFonts w:eastAsia="FangSong_GB2312" w:cs="Times New Roman"/>
          <w:sz w:val="32"/>
          <w:szCs w:val="32"/>
        </w:rPr>
        <w:lastRenderedPageBreak/>
        <w:t>铁水联动运输效能。</w:t>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4"/>
      </w:tblGrid>
      <w:tr w:rsidR="00000000" w14:paraId="4B9A59C5" w14:textId="77777777">
        <w:trPr>
          <w:trHeight w:val="759"/>
        </w:trPr>
        <w:tc>
          <w:tcPr>
            <w:tcW w:w="5000" w:type="pct"/>
            <w:vAlign w:val="center"/>
          </w:tcPr>
          <w:p w14:paraId="670BD294" w14:textId="77777777" w:rsidR="00000000" w:rsidRDefault="00000000">
            <w:pPr>
              <w:spacing w:line="600" w:lineRule="exact"/>
              <w:jc w:val="center"/>
              <w:rPr>
                <w:rFonts w:ascii="SimHei" w:eastAsia="SimHei" w:hAnsi="SimHei" w:cs="SimHei" w:hint="eastAsia"/>
                <w:sz w:val="32"/>
                <w:szCs w:val="32"/>
              </w:rPr>
            </w:pPr>
            <w:r>
              <w:rPr>
                <w:rFonts w:ascii="SimHei" w:eastAsia="SimHei" w:hAnsi="SimHei" w:cs="SimHei" w:hint="eastAsia"/>
                <w:sz w:val="32"/>
                <w:szCs w:val="32"/>
              </w:rPr>
              <w:t>专栏7  自由贸易港交通枢纽体系重大工程（98个）</w:t>
            </w:r>
          </w:p>
        </w:tc>
      </w:tr>
      <w:tr w:rsidR="00000000" w14:paraId="1AC17AEF" w14:textId="77777777">
        <w:tc>
          <w:tcPr>
            <w:tcW w:w="5000" w:type="pct"/>
          </w:tcPr>
          <w:p w14:paraId="7B72CAE1" w14:textId="77777777" w:rsidR="00000000" w:rsidRDefault="00000000">
            <w:pPr>
              <w:spacing w:line="580" w:lineRule="exact"/>
              <w:ind w:firstLineChars="200" w:firstLine="650"/>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lang w:bidi="ar"/>
              </w:rPr>
              <w:t>1.航空枢纽（4个）</w:t>
            </w:r>
          </w:p>
          <w:p w14:paraId="7DDE24A7"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lang w:bidi="ar"/>
              </w:rPr>
              <w:t>建设</w:t>
            </w:r>
            <w:r>
              <w:rPr>
                <w:rFonts w:ascii="FangSong_GB2312" w:eastAsia="FangSong_GB2312" w:hAnsi="FangSong_GB2312" w:cs="FangSong_GB2312" w:hint="eastAsia"/>
                <w:sz w:val="32"/>
                <w:szCs w:val="32"/>
                <w:lang w:bidi="ar"/>
              </w:rPr>
              <w:t>三亚新机场、美兰机场三期扩建工程、东方机场、儋州机场。</w:t>
            </w:r>
          </w:p>
          <w:p w14:paraId="4E3111E1" w14:textId="77777777" w:rsidR="00000000" w:rsidRDefault="00000000">
            <w:pPr>
              <w:spacing w:line="580" w:lineRule="exact"/>
              <w:ind w:firstLineChars="200" w:firstLine="650"/>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lang w:bidi="ar"/>
              </w:rPr>
              <w:t>2.航运枢纽（74个）</w:t>
            </w:r>
          </w:p>
          <w:p w14:paraId="4B87BE47"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lang w:bidi="ar"/>
              </w:rPr>
              <w:t>码头项目（41个）。续建</w:t>
            </w:r>
            <w:r>
              <w:rPr>
                <w:rFonts w:ascii="FangSong_GB2312" w:eastAsia="FangSong_GB2312" w:hAnsi="FangSong_GB2312" w:cs="FangSong_GB2312" w:hint="eastAsia"/>
                <w:sz w:val="32"/>
                <w:szCs w:val="32"/>
                <w:lang w:bidi="ar"/>
              </w:rPr>
              <w:t>洋浦港洋浦港区湾底作业区国投洋浦港10万吨级公共粮油码头工程、国投洋浦港二期工程（3#～5#泊位）码头升级改造工程、马村港三期项目、八所港鱼鳞洲港区6#泊位改扩建项目、海南三亚国际邮轮港一期项目、三亚深海科考码头、三亚港南山港区货运码头二期工程、海南省临高金牌开发区港口及配套工程项目一期码头工程等项目。</w:t>
            </w:r>
            <w:r>
              <w:rPr>
                <w:rFonts w:ascii="FangSong_GB2312" w:eastAsia="FangSong_GB2312" w:hAnsi="FangSong_GB2312" w:cs="FangSong_GB2312" w:hint="eastAsia"/>
                <w:b/>
                <w:bCs/>
                <w:sz w:val="32"/>
                <w:szCs w:val="32"/>
                <w:lang w:bidi="ar"/>
              </w:rPr>
              <w:t>建设</w:t>
            </w:r>
            <w:r>
              <w:rPr>
                <w:rFonts w:ascii="FangSong_GB2312" w:eastAsia="FangSong_GB2312" w:hAnsi="FangSong_GB2312" w:cs="FangSong_GB2312" w:hint="eastAsia"/>
                <w:sz w:val="32"/>
                <w:szCs w:val="32"/>
                <w:lang w:bidi="ar"/>
              </w:rPr>
              <w:t>海南洋浦区域国际集装箱枢纽港扩建工程（二阶段）、洋浦港神头港区新兴作业区通用码头工程、海南洋浦5万吨级船舶修造及风电运维保障基地项目、洋浦港神头港区莲花山作业区公共危险品码头工程、海口国际邮轮港及配套设施工程、海口港秀英港区11#泊位改造工程、八所港罗带河港区5万吨级液体化工码头工程、八所港高排港区一期工程—码头及航道工程、海南三亚国际客运码头项目、三亚南山港国际科考服务保障综合枢纽港建设工程、三亚海事监管基地升级改造工程、清澜港航天产业配套基础设施提升改造项目、清澜（万宁）海事监管基地、乐东港口一期工程—港口码头工程、琼州海峡滚</w:t>
            </w:r>
            <w:r>
              <w:rPr>
                <w:rFonts w:ascii="FangSong_GB2312" w:eastAsia="FangSong_GB2312" w:hAnsi="FangSong_GB2312" w:cs="FangSong_GB2312" w:hint="eastAsia"/>
                <w:sz w:val="32"/>
                <w:szCs w:val="32"/>
                <w:lang w:bidi="ar"/>
              </w:rPr>
              <w:lastRenderedPageBreak/>
              <w:t>装第二通道工程—金牌港码头工程等项目。</w:t>
            </w:r>
            <w:r>
              <w:rPr>
                <w:rFonts w:ascii="FangSong_GB2312" w:eastAsia="FangSong_GB2312" w:hAnsi="FangSong_GB2312" w:cs="FangSong_GB2312" w:hint="eastAsia"/>
                <w:b/>
                <w:bCs/>
                <w:sz w:val="32"/>
                <w:szCs w:val="32"/>
                <w:lang w:bidi="ar"/>
              </w:rPr>
              <w:t>谋划</w:t>
            </w:r>
            <w:r>
              <w:rPr>
                <w:rFonts w:ascii="FangSong_GB2312" w:eastAsia="FangSong_GB2312" w:hAnsi="FangSong_GB2312" w:cs="FangSong_GB2312" w:hint="eastAsia"/>
                <w:sz w:val="32"/>
                <w:szCs w:val="32"/>
                <w:lang w:bidi="ar"/>
              </w:rPr>
              <w:t>洋浦港洋浦港区海花岛国际邮轮码头工程、洋浦港洋浦港区湾底作业区10万吨级公共粮油码头二期工程、洋浦港洋浦港区小铲滩北作业区通用码头工程（一期）、洋浦港神头港区新兴作业区通用码头工程（二期）、海南省洋浦港船舶修造基地项目、洋浦船舶修造及海工装备综合基地、洋浦港神头港区德义作业区石化新材料码头工程、洋浦港神头港区莲花山作业区石化新材料码头工程、海口港马村港区华能海口电厂通用码头工程、南山终端深水支持码头建设项目、海南三亚国际邮轮港二期及配套工程、文昌清澜新港东郊作业区多用途码头一期工程、航天配套码头项目、海南省临高金牌开发区港口及配套工程项目二期码头工程与三期码头工程、金牌港海工装备产业通用基础设施项目配套码头工程、昌江船舶修造工程、中海油宝岛21-1化工品泊位项目等项目。</w:t>
            </w:r>
          </w:p>
          <w:p w14:paraId="319B85F5"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lang w:bidi="ar"/>
              </w:rPr>
              <w:t>航道、防波堤项目（24个）：续建</w:t>
            </w:r>
            <w:r>
              <w:rPr>
                <w:rFonts w:ascii="FangSong_GB2312" w:eastAsia="FangSong_GB2312" w:hAnsi="FangSong_GB2312" w:cs="FangSong_GB2312" w:hint="eastAsia"/>
                <w:sz w:val="32"/>
                <w:szCs w:val="32"/>
                <w:lang w:bidi="ar"/>
              </w:rPr>
              <w:t>琼州海峡中水道航道浅点疏浚工程、海南洋浦区域国际集装箱枢纽港扩建工程防波堤工程、洋浦港神头港区新兴作业区船舶维保和海工装备基地项目起步工程、海南省临高金牌开发区港口及配套工程项目临高金牌港东作业区航道工程与防波堤一期工程、八所港高排港区一期工程</w:t>
            </w:r>
            <w:r>
              <w:rPr>
                <w:rFonts w:ascii="FangSong_GB2312" w:eastAsia="FangSong_GB2312" w:hAnsi="FangSong_GB2312" w:cs="FangSong_GB2312" w:hint="eastAsia"/>
                <w:sz w:val="32"/>
                <w:szCs w:val="32"/>
              </w:rPr>
              <w:t>—</w:t>
            </w:r>
            <w:r>
              <w:rPr>
                <w:rFonts w:ascii="FangSong_GB2312" w:eastAsia="FangSong_GB2312" w:hAnsi="FangSong_GB2312" w:cs="FangSong_GB2312" w:hint="eastAsia"/>
                <w:sz w:val="32"/>
                <w:szCs w:val="32"/>
                <w:lang w:bidi="ar"/>
              </w:rPr>
              <w:t>防波堤工程等项目。</w:t>
            </w:r>
            <w:r>
              <w:rPr>
                <w:rFonts w:ascii="FangSong_GB2312" w:eastAsia="FangSong_GB2312" w:hAnsi="FangSong_GB2312" w:cs="FangSong_GB2312" w:hint="eastAsia"/>
                <w:b/>
                <w:bCs/>
                <w:sz w:val="32"/>
                <w:szCs w:val="32"/>
                <w:lang w:bidi="ar"/>
              </w:rPr>
              <w:t>建设</w:t>
            </w:r>
            <w:r>
              <w:rPr>
                <w:rFonts w:ascii="FangSong_GB2312" w:eastAsia="FangSong_GB2312" w:hAnsi="FangSong_GB2312" w:cs="FangSong_GB2312" w:hint="eastAsia"/>
                <w:sz w:val="32"/>
                <w:szCs w:val="32"/>
                <w:lang w:bidi="ar"/>
              </w:rPr>
              <w:t>洋浦港神头港区新兴作业区公共航道工程、海口港马村港区航道工程、清澜港清澜港区航道改扩建工程、乐东港口一期工程</w:t>
            </w:r>
            <w:r>
              <w:rPr>
                <w:rFonts w:ascii="FangSong_GB2312" w:eastAsia="FangSong_GB2312" w:hAnsi="FangSong_GB2312" w:cs="FangSong_GB2312" w:hint="eastAsia"/>
                <w:sz w:val="32"/>
                <w:szCs w:val="32"/>
              </w:rPr>
              <w:t>—</w:t>
            </w:r>
            <w:r>
              <w:rPr>
                <w:rFonts w:ascii="FangSong_GB2312" w:eastAsia="FangSong_GB2312" w:hAnsi="FangSong_GB2312" w:cs="FangSong_GB2312" w:hint="eastAsia"/>
                <w:sz w:val="32"/>
                <w:szCs w:val="32"/>
                <w:lang w:bidi="ar"/>
              </w:rPr>
              <w:t>航道工程、琼州海峡滚装第二通道工程—金牌港航道工程；乐东港深海开发服务保障</w:t>
            </w:r>
            <w:r>
              <w:rPr>
                <w:rFonts w:ascii="FangSong_GB2312" w:eastAsia="FangSong_GB2312" w:hAnsi="FangSong_GB2312" w:cs="FangSong_GB2312" w:hint="eastAsia"/>
                <w:sz w:val="32"/>
                <w:szCs w:val="32"/>
                <w:lang w:bidi="ar"/>
              </w:rPr>
              <w:lastRenderedPageBreak/>
              <w:t>和防波堤配套工程</w:t>
            </w:r>
            <w:r>
              <w:rPr>
                <w:rFonts w:ascii="FangSong_GB2312" w:eastAsia="FangSong_GB2312" w:hAnsi="FangSong_GB2312" w:cs="FangSong_GB2312" w:hint="eastAsia"/>
                <w:sz w:val="32"/>
                <w:szCs w:val="32"/>
              </w:rPr>
              <w:t>—</w:t>
            </w:r>
            <w:r>
              <w:rPr>
                <w:rFonts w:ascii="FangSong_GB2312" w:eastAsia="FangSong_GB2312" w:hAnsi="FangSong_GB2312" w:cs="FangSong_GB2312" w:hint="eastAsia"/>
                <w:sz w:val="32"/>
                <w:szCs w:val="32"/>
                <w:lang w:bidi="ar"/>
              </w:rPr>
              <w:t>防波堤工程、琼州海峡滚装第二通道工程—金牌港防波堤工程等项目。</w:t>
            </w:r>
            <w:r>
              <w:rPr>
                <w:rFonts w:ascii="FangSong_GB2312" w:eastAsia="FangSong_GB2312" w:hAnsi="FangSong_GB2312" w:cs="FangSong_GB2312" w:hint="eastAsia"/>
                <w:b/>
                <w:bCs/>
                <w:sz w:val="32"/>
                <w:szCs w:val="32"/>
                <w:lang w:bidi="ar"/>
              </w:rPr>
              <w:t>谋划</w:t>
            </w:r>
            <w:r>
              <w:rPr>
                <w:rFonts w:ascii="FangSong_GB2312" w:eastAsia="FangSong_GB2312" w:hAnsi="FangSong_GB2312" w:cs="FangSong_GB2312" w:hint="eastAsia"/>
                <w:sz w:val="32"/>
                <w:szCs w:val="32"/>
                <w:lang w:bidi="ar"/>
              </w:rPr>
              <w:t>洋浦港洋浦港区小铲滩北作业区航道工程、洋浦港洋浦港区海花岛作业区航道工程、航天配套码头项目航道工程、海南省临高金牌开发区港口及配套工程项目临高金牌港东作业区防波堤二期工程、昌江港通用码头区航道工程、万宁港乌场港区公共航道工程；洋浦港洋浦港区海花岛作业区防波堤工程、洋浦港神头港区德义作业区防波堤工程、清澜港防波堤项目、金牌港海工装备产业通用基础设施项目配套防波堤工程、万宁乌场港区公共防波堤工程等项目。</w:t>
            </w:r>
          </w:p>
          <w:p w14:paraId="366ECB84"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lang w:bidi="ar"/>
              </w:rPr>
              <w:t>锚地项目（9个）：建设</w:t>
            </w:r>
            <w:r>
              <w:rPr>
                <w:rFonts w:ascii="FangSong_GB2312" w:eastAsia="FangSong_GB2312" w:hAnsi="FangSong_GB2312" w:cs="FangSong_GB2312" w:hint="eastAsia"/>
                <w:sz w:val="32"/>
                <w:szCs w:val="32"/>
                <w:lang w:bidi="ar"/>
              </w:rPr>
              <w:t>洋浦港6号、9号和14号锚地工程、琼州海峡海甸溪锚地工程、琼州海峡滚装第二通道工程—金牌港锚地工程、乐东港深海开发服务保障和防波堤配套工程</w:t>
            </w:r>
            <w:r>
              <w:rPr>
                <w:rFonts w:ascii="FangSong_GB2312" w:eastAsia="FangSong_GB2312" w:hAnsi="FangSong_GB2312" w:cs="FangSong_GB2312" w:hint="eastAsia"/>
                <w:sz w:val="32"/>
                <w:szCs w:val="32"/>
              </w:rPr>
              <w:t>—</w:t>
            </w:r>
            <w:r>
              <w:rPr>
                <w:rFonts w:ascii="FangSong_GB2312" w:eastAsia="FangSong_GB2312" w:hAnsi="FangSong_GB2312" w:cs="FangSong_GB2312" w:hint="eastAsia"/>
                <w:sz w:val="32"/>
                <w:szCs w:val="32"/>
                <w:lang w:bidi="ar"/>
              </w:rPr>
              <w:t>锚地工程，</w:t>
            </w:r>
            <w:r>
              <w:rPr>
                <w:rFonts w:ascii="FangSong_GB2312" w:eastAsia="FangSong_GB2312" w:hAnsi="FangSong_GB2312" w:cs="FangSong_GB2312" w:hint="eastAsia"/>
                <w:b/>
                <w:bCs/>
                <w:sz w:val="32"/>
                <w:szCs w:val="32"/>
                <w:lang w:bidi="ar"/>
              </w:rPr>
              <w:t>谋划</w:t>
            </w:r>
            <w:r>
              <w:rPr>
                <w:rFonts w:ascii="FangSong_GB2312" w:eastAsia="FangSong_GB2312" w:hAnsi="FangSong_GB2312" w:cs="FangSong_GB2312" w:hint="eastAsia"/>
                <w:sz w:val="32"/>
                <w:szCs w:val="32"/>
                <w:lang w:bidi="ar"/>
              </w:rPr>
              <w:t>海口港马村港区2号锚地改建工程、八所港锚地工程、清澜港1号、3号锚地新建工程、海南省临高金牌开发区港口及配套工程项目临高金牌港东作业区锚地工程、万宁港乌场港区1号锚地工程等项目。</w:t>
            </w:r>
          </w:p>
          <w:p w14:paraId="538253AE" w14:textId="77777777" w:rsidR="00000000" w:rsidRDefault="00000000">
            <w:pPr>
              <w:spacing w:line="580" w:lineRule="exact"/>
              <w:ind w:firstLineChars="200" w:firstLine="650"/>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lang w:bidi="ar"/>
              </w:rPr>
              <w:t>3.综合交通枢纽（20个）</w:t>
            </w:r>
          </w:p>
          <w:p w14:paraId="49D1140D"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lang w:bidi="ar"/>
              </w:rPr>
              <w:t>铁路客运枢纽（6个）</w:t>
            </w:r>
            <w:r>
              <w:rPr>
                <w:rFonts w:ascii="FangSong_GB2312" w:eastAsia="FangSong_GB2312" w:hAnsi="FangSong_GB2312" w:cs="FangSong_GB2312" w:hint="eastAsia"/>
                <w:sz w:val="32"/>
                <w:szCs w:val="32"/>
                <w:lang w:bidi="ar"/>
              </w:rPr>
              <w:t>：</w:t>
            </w:r>
            <w:r>
              <w:rPr>
                <w:rFonts w:ascii="FangSong_GB2312" w:eastAsia="FangSong_GB2312" w:hAnsi="FangSong_GB2312" w:cs="FangSong_GB2312" w:hint="eastAsia"/>
                <w:b/>
                <w:bCs/>
                <w:sz w:val="32"/>
                <w:szCs w:val="32"/>
                <w:lang w:bidi="ar"/>
              </w:rPr>
              <w:t>建设</w:t>
            </w:r>
            <w:r>
              <w:rPr>
                <w:rFonts w:ascii="FangSong_GB2312" w:eastAsia="FangSong_GB2312" w:hAnsi="FangSong_GB2312" w:cs="FangSong_GB2312" w:hint="eastAsia"/>
                <w:sz w:val="32"/>
                <w:szCs w:val="32"/>
                <w:lang w:bidi="ar"/>
              </w:rPr>
              <w:t>湛海高铁海口北站，</w:t>
            </w:r>
            <w:r>
              <w:rPr>
                <w:rFonts w:ascii="FangSong_GB2312" w:eastAsia="FangSong_GB2312" w:hAnsi="FangSong_GB2312" w:cs="FangSong_GB2312" w:hint="eastAsia"/>
                <w:b/>
                <w:bCs/>
                <w:sz w:val="32"/>
                <w:szCs w:val="32"/>
                <w:lang w:bidi="ar"/>
              </w:rPr>
              <w:t>建成</w:t>
            </w:r>
            <w:r>
              <w:rPr>
                <w:rFonts w:ascii="FangSong_GB2312" w:eastAsia="FangSong_GB2312" w:hAnsi="FangSong_GB2312" w:cs="FangSong_GB2312" w:hint="eastAsia"/>
                <w:sz w:val="32"/>
                <w:szCs w:val="32"/>
                <w:lang w:bidi="ar"/>
              </w:rPr>
              <w:t>环岛高铁海口东站、美兰机场站等扩建项目，</w:t>
            </w:r>
            <w:r>
              <w:rPr>
                <w:rFonts w:ascii="FangSong_GB2312" w:eastAsia="FangSong_GB2312" w:hAnsi="FangSong_GB2312" w:cs="FangSong_GB2312" w:hint="eastAsia"/>
                <w:b/>
                <w:bCs/>
                <w:sz w:val="32"/>
                <w:szCs w:val="32"/>
                <w:lang w:bidi="ar"/>
              </w:rPr>
              <w:t>谋划</w:t>
            </w:r>
            <w:r>
              <w:rPr>
                <w:rFonts w:ascii="FangSong_GB2312" w:eastAsia="FangSong_GB2312" w:hAnsi="FangSong_GB2312" w:cs="FangSong_GB2312" w:hint="eastAsia"/>
                <w:sz w:val="32"/>
                <w:szCs w:val="32"/>
                <w:lang w:bidi="ar"/>
              </w:rPr>
              <w:t>崖州站扩建及环岛高铁海棠湾站、三亚站等TOD项目。</w:t>
            </w:r>
          </w:p>
          <w:p w14:paraId="74FB0864"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lang w:bidi="ar"/>
              </w:rPr>
              <w:t>客运枢纽场站（2个）：续建</w:t>
            </w:r>
            <w:r>
              <w:rPr>
                <w:rFonts w:ascii="FangSong_GB2312" w:eastAsia="FangSong_GB2312" w:hAnsi="FangSong_GB2312" w:cs="FangSong_GB2312" w:hint="eastAsia"/>
                <w:sz w:val="32"/>
                <w:szCs w:val="32"/>
                <w:lang w:bidi="ar"/>
              </w:rPr>
              <w:t>海南三亚国际邮轮港一期客运枢纽及配套工程项目，</w:t>
            </w:r>
            <w:r>
              <w:rPr>
                <w:rFonts w:ascii="FangSong_GB2312" w:eastAsia="FangSong_GB2312" w:hAnsi="FangSong_GB2312" w:cs="FangSong_GB2312" w:hint="eastAsia"/>
                <w:b/>
                <w:bCs/>
                <w:sz w:val="32"/>
                <w:szCs w:val="32"/>
                <w:lang w:bidi="ar"/>
              </w:rPr>
              <w:t>谋划</w:t>
            </w:r>
            <w:r>
              <w:rPr>
                <w:rFonts w:ascii="FangSong_GB2312" w:eastAsia="FangSong_GB2312" w:hAnsi="FangSong_GB2312" w:cs="FangSong_GB2312" w:hint="eastAsia"/>
                <w:sz w:val="32"/>
                <w:szCs w:val="32"/>
                <w:lang w:bidi="ar"/>
              </w:rPr>
              <w:t>海南三亚国际邮轮港二期客运枢纽项目。</w:t>
            </w:r>
          </w:p>
          <w:p w14:paraId="5D7DE414"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lang w:bidi="ar"/>
              </w:rPr>
              <w:lastRenderedPageBreak/>
              <w:t>集疏运体系（7个）：建设</w:t>
            </w:r>
            <w:r>
              <w:rPr>
                <w:rFonts w:ascii="FangSong_GB2312" w:eastAsia="FangSong_GB2312" w:hAnsi="FangSong_GB2312" w:cs="FangSong_GB2312" w:hint="eastAsia"/>
                <w:sz w:val="32"/>
                <w:szCs w:val="32"/>
                <w:lang w:bidi="ar"/>
              </w:rPr>
              <w:t>海口北站集疏运配套工程，</w:t>
            </w:r>
            <w:r>
              <w:rPr>
                <w:rFonts w:ascii="FangSong_GB2312" w:eastAsia="FangSong_GB2312" w:hAnsi="FangSong_GB2312" w:cs="FangSong_GB2312" w:hint="eastAsia"/>
                <w:b/>
                <w:bCs/>
                <w:sz w:val="32"/>
                <w:szCs w:val="32"/>
                <w:lang w:bidi="ar"/>
              </w:rPr>
              <w:t>谋划</w:t>
            </w:r>
            <w:r>
              <w:rPr>
                <w:rFonts w:ascii="FangSong_GB2312" w:eastAsia="FangSong_GB2312" w:hAnsi="FangSong_GB2312" w:cs="FangSong_GB2312" w:hint="eastAsia"/>
                <w:sz w:val="32"/>
                <w:szCs w:val="32"/>
                <w:lang w:bidi="ar"/>
              </w:rPr>
              <w:t>推进三亚新机场、儋州机场、东方机场集疏运体系项目、海口港马村港区集疏运道路工程、文昌航天发射场配套路网工程、博鳌机场智慧接驳交通系统。</w:t>
            </w:r>
          </w:p>
          <w:p w14:paraId="41A3C7EE"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lang w:bidi="ar"/>
              </w:rPr>
              <w:t>铁路货运枢纽（2个）</w:t>
            </w:r>
            <w:r>
              <w:rPr>
                <w:rFonts w:ascii="FangSong_GB2312" w:eastAsia="FangSong_GB2312" w:hAnsi="FangSong_GB2312" w:cs="FangSong_GB2312" w:hint="eastAsia"/>
                <w:sz w:val="32"/>
                <w:szCs w:val="32"/>
                <w:lang w:bidi="ar"/>
              </w:rPr>
              <w:t>：</w:t>
            </w:r>
            <w:r>
              <w:rPr>
                <w:rFonts w:ascii="FangSong_GB2312" w:eastAsia="FangSong_GB2312" w:hAnsi="FangSong_GB2312" w:cs="FangSong_GB2312" w:hint="eastAsia"/>
                <w:b/>
                <w:bCs/>
                <w:sz w:val="32"/>
                <w:szCs w:val="32"/>
                <w:lang w:bidi="ar"/>
              </w:rPr>
              <w:t>建设</w:t>
            </w:r>
            <w:r>
              <w:rPr>
                <w:rFonts w:ascii="FangSong_GB2312" w:eastAsia="FangSong_GB2312" w:hAnsi="FangSong_GB2312" w:cs="FangSong_GB2312" w:hint="eastAsia"/>
                <w:sz w:val="32"/>
                <w:szCs w:val="32"/>
                <w:lang w:bidi="ar"/>
              </w:rPr>
              <w:t>海口南一级铁路物流基地，</w:t>
            </w:r>
            <w:r>
              <w:rPr>
                <w:rFonts w:ascii="FangSong_GB2312" w:eastAsia="FangSong_GB2312" w:hAnsi="FangSong_GB2312" w:cs="FangSong_GB2312" w:hint="eastAsia"/>
                <w:b/>
                <w:bCs/>
                <w:sz w:val="32"/>
                <w:szCs w:val="32"/>
                <w:lang w:bidi="ar"/>
              </w:rPr>
              <w:t>谋划</w:t>
            </w:r>
            <w:r>
              <w:rPr>
                <w:rFonts w:ascii="FangSong_GB2312" w:eastAsia="FangSong_GB2312" w:hAnsi="FangSong_GB2312" w:cs="FangSong_GB2312" w:hint="eastAsia"/>
                <w:sz w:val="32"/>
                <w:szCs w:val="32"/>
                <w:lang w:bidi="ar"/>
              </w:rPr>
              <w:t>洋浦二级铁路物流基地。</w:t>
            </w:r>
          </w:p>
          <w:p w14:paraId="4339C82F" w14:textId="77777777" w:rsidR="00000000" w:rsidRDefault="00000000">
            <w:pPr>
              <w:widowControl/>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lang w:bidi="ar"/>
              </w:rPr>
              <w:t>货运枢纽场站（3个）：续建</w:t>
            </w:r>
            <w:r>
              <w:rPr>
                <w:rFonts w:ascii="FangSong_GB2312" w:eastAsia="FangSong_GB2312" w:hAnsi="FangSong_GB2312" w:cs="FangSong_GB2312" w:hint="eastAsia"/>
                <w:sz w:val="32"/>
                <w:szCs w:val="32"/>
                <w:lang w:bidi="ar"/>
              </w:rPr>
              <w:t>新海陆岛物流园区起步区工程项目（A包）、三亚国际邮件快件跨境电商物流监管中心及配套物流仓储项目、三亚民生综合物流园。</w:t>
            </w:r>
          </w:p>
        </w:tc>
      </w:tr>
    </w:tbl>
    <w:p w14:paraId="0B95DDB9"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71" w:name="_Toc1298658205"/>
      <w:bookmarkStart w:id="72" w:name="_Toc503445414"/>
      <w:bookmarkStart w:id="73" w:name="_Toc760453686"/>
      <w:bookmarkStart w:id="74" w:name="_Toc1422038530"/>
      <w:bookmarkStart w:id="75" w:name="_Toc6939"/>
      <w:bookmarkStart w:id="76" w:name="_Toc1140607744"/>
      <w:bookmarkStart w:id="77" w:name="_Toc2444"/>
      <w:bookmarkStart w:id="78" w:name="_Toc1362485569"/>
      <w:r>
        <w:rPr>
          <w:rFonts w:eastAsia="KaiTi_GB2312" w:cs="KaiTi_GB2312" w:hint="eastAsia"/>
          <w:sz w:val="32"/>
          <w:szCs w:val="32"/>
        </w:rPr>
        <w:lastRenderedPageBreak/>
        <w:t>第三节</w:t>
      </w:r>
      <w:r>
        <w:rPr>
          <w:rFonts w:eastAsia="KaiTi_GB2312" w:cs="KaiTi_GB2312" w:hint="eastAsia"/>
          <w:sz w:val="32"/>
          <w:szCs w:val="32"/>
        </w:rPr>
        <w:t xml:space="preserve"> </w:t>
      </w:r>
      <w:r>
        <w:rPr>
          <w:rFonts w:eastAsia="KaiTi_GB2312" w:cs="KaiTi_GB2312" w:hint="eastAsia"/>
          <w:sz w:val="32"/>
          <w:szCs w:val="32"/>
        </w:rPr>
        <w:t>构筑对外综合大通道</w:t>
      </w:r>
      <w:bookmarkEnd w:id="71"/>
      <w:bookmarkEnd w:id="72"/>
      <w:bookmarkEnd w:id="73"/>
      <w:bookmarkEnd w:id="74"/>
      <w:bookmarkEnd w:id="75"/>
      <w:bookmarkEnd w:id="76"/>
      <w:bookmarkEnd w:id="77"/>
      <w:bookmarkEnd w:id="78"/>
    </w:p>
    <w:p w14:paraId="0F67ACD8"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统筹构筑空中、海上、陆上、跨海峡及低空多维度对外综合大通道，全面提升海南与国内腹地、全球各地的畅联效能。</w:t>
      </w:r>
    </w:p>
    <w:p w14:paraId="175E9B82"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建设面向两洋的空中大通道。</w:t>
      </w:r>
      <w:r>
        <w:rPr>
          <w:rFonts w:ascii="FangSong_GB2312" w:eastAsia="FangSong_GB2312" w:hAnsi="FangSong_GB2312" w:cs="FangSong_GB2312" w:hint="eastAsia"/>
          <w:sz w:val="32"/>
          <w:szCs w:val="32"/>
        </w:rPr>
        <w:t>完善“两圈一带”对外联通体系，提升4小时飞行经济圈覆盖范围，加强8小时飞行经济圈联通能力，拓展与“一带一路”共建国家联系。提升海口枢纽中转功能，推动构建“四大”中转扇面，推进境外中转扇面航线网络之间及与国内“轴辐式”骨干航线网络高效衔接。加快畅通国内进出岛空中大通道，融入全国“干支通，全网联”航空运输服务体系。</w:t>
      </w:r>
    </w:p>
    <w:p w14:paraId="2380972E"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打造外联内畅的海上大通道。</w:t>
      </w:r>
      <w:r>
        <w:rPr>
          <w:rFonts w:ascii="FangSong_GB2312" w:eastAsia="FangSong_GB2312" w:hAnsi="FangSong_GB2312" w:cs="FangSong_GB2312" w:hint="eastAsia"/>
          <w:sz w:val="32"/>
          <w:szCs w:val="32"/>
        </w:rPr>
        <w:t>重点加密东南亚、东北亚等区域航运网络，逐步延伸中东、大洋洲近洋航线，积极拓展美洲、欧洲、非洲远洋干线。加强与北部湾、粤港澳大湾区、京</w:t>
      </w:r>
      <w:r>
        <w:rPr>
          <w:rFonts w:ascii="FangSong_GB2312" w:eastAsia="FangSong_GB2312" w:hAnsi="FangSong_GB2312" w:cs="FangSong_GB2312" w:hint="eastAsia"/>
          <w:sz w:val="32"/>
          <w:szCs w:val="32"/>
        </w:rPr>
        <w:lastRenderedPageBreak/>
        <w:t>津冀、长三角等国内主要港口联通度。支持港航企业增开航线航班，完善内外贸航线布局。提升洋浦港在联通国内国际双循环、面向RCEP国家或地区的重要门户地位。</w:t>
      </w:r>
    </w:p>
    <w:p w14:paraId="17348818"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拓展坚强韧性陆上大通道。</w:t>
      </w:r>
      <w:r>
        <w:rPr>
          <w:rFonts w:ascii="FangSong_GB2312" w:eastAsia="FangSong_GB2312" w:hAnsi="FangSong_GB2312" w:cs="FangSong_GB2312" w:hint="eastAsia"/>
          <w:sz w:val="32"/>
          <w:szCs w:val="32"/>
        </w:rPr>
        <w:t>通过湛海高铁全面融入全国高速铁路网，推进粤海铁路轮渡设施能力提升工程。依托G15沈海高速、G75兰海高速等国家干线高速公路，强化海南与北部湾城市群、西南陆路通道及粤港澳大湾区的陆路连接，将海南打造成为服务和保障国家战略的重要交汇节点。</w:t>
      </w:r>
    </w:p>
    <w:p w14:paraId="5555C607"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加快建设“黄金水道”。</w:t>
      </w:r>
      <w:r>
        <w:rPr>
          <w:rFonts w:ascii="FangSong_GB2312" w:eastAsia="FangSong_GB2312" w:hAnsi="FangSong_GB2312" w:cs="FangSong_GB2312" w:hint="eastAsia"/>
          <w:sz w:val="32"/>
          <w:szCs w:val="32"/>
        </w:rPr>
        <w:t>完善以海南至广东为主线、海南至广西为支线的跨海峡通道空间布局，加快建设湛海高铁，推动客滚轮渡、铁路轮渡协同发展，大幅缩短过海时间。推动完善琼州海峡滚装运输通道体系，充分发挥既有港址作用，在海峡两侧适当增加码头选址，近期研究建设琼州海峡乌石至临高滚装第二通道</w:t>
      </w:r>
      <w:r>
        <w:rPr>
          <w:rFonts w:ascii="FangSong_GB2312" w:eastAsia="FangSong_GB2312" w:hAnsi="FangSong_GB2312" w:cs="FangSong_GB2312" w:hint="eastAsia"/>
          <w:sz w:val="32"/>
          <w:szCs w:val="32"/>
          <w:lang w:bidi="ar"/>
        </w:rPr>
        <w:t>。</w:t>
      </w:r>
      <w:r>
        <w:rPr>
          <w:rFonts w:ascii="FangSong_GB2312" w:eastAsia="FangSong_GB2312" w:hAnsi="FangSong_GB2312" w:cs="FangSong_GB2312" w:hint="eastAsia"/>
          <w:sz w:val="32"/>
          <w:szCs w:val="32"/>
        </w:rPr>
        <w:t>以绿色化、智能化为导向，有序推进客滚船舶运力更新。</w:t>
      </w:r>
    </w:p>
    <w:p w14:paraId="569AD50E" w14:textId="77777777" w:rsidR="00000000" w:rsidRDefault="00000000">
      <w:pPr>
        <w:spacing w:line="600" w:lineRule="exact"/>
        <w:ind w:firstLineChars="200" w:firstLine="650"/>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rPr>
        <w:t>构建跨琼州海峡低空通道。</w:t>
      </w:r>
      <w:r>
        <w:rPr>
          <w:rFonts w:ascii="FangSong_GB2312" w:eastAsia="FangSong_GB2312" w:hAnsi="FangSong_GB2312" w:cs="FangSong_GB2312" w:hint="eastAsia"/>
          <w:sz w:val="32"/>
          <w:szCs w:val="32"/>
        </w:rPr>
        <w:t>加快推进跨琼州海峡低空航路建设，建设“海口新海港</w:t>
      </w:r>
      <w:r>
        <w:rPr>
          <w:rFonts w:ascii="FangSong_GB2312" w:eastAsia="FangSong_GB2312" w:hAnsi="FangSong_GB2312" w:cs="FangSong_GB2312" w:hint="eastAsia"/>
          <w:sz w:val="32"/>
          <w:szCs w:val="32"/>
          <w:lang w:bidi="ar"/>
        </w:rPr>
        <w:t>—</w:t>
      </w:r>
      <w:r>
        <w:rPr>
          <w:rFonts w:ascii="FangSong_GB2312" w:eastAsia="FangSong_GB2312" w:hAnsi="FangSong_GB2312" w:cs="FangSong_GB2312" w:hint="eastAsia"/>
          <w:sz w:val="32"/>
          <w:szCs w:val="32"/>
        </w:rPr>
        <w:t>徐闻南山”“海口新海港</w:t>
      </w:r>
      <w:r>
        <w:rPr>
          <w:rFonts w:ascii="FangSong_GB2312" w:eastAsia="FangSong_GB2312" w:hAnsi="FangSong_GB2312" w:cs="FangSong_GB2312" w:hint="eastAsia"/>
          <w:sz w:val="32"/>
          <w:szCs w:val="32"/>
          <w:lang w:bidi="ar"/>
        </w:rPr>
        <w:t>—</w:t>
      </w:r>
      <w:r>
        <w:rPr>
          <w:rFonts w:ascii="FangSong_GB2312" w:eastAsia="FangSong_GB2312" w:hAnsi="FangSong_GB2312" w:cs="FangSong_GB2312" w:hint="eastAsia"/>
          <w:sz w:val="32"/>
          <w:szCs w:val="32"/>
        </w:rPr>
        <w:t>西海岸大酒店</w:t>
      </w:r>
      <w:r>
        <w:rPr>
          <w:rFonts w:ascii="FangSong_GB2312" w:eastAsia="FangSong_GB2312" w:hAnsi="FangSong_GB2312" w:cs="FangSong_GB2312" w:hint="eastAsia"/>
          <w:sz w:val="32"/>
          <w:szCs w:val="32"/>
          <w:lang w:bidi="ar"/>
        </w:rPr>
        <w:t>—</w:t>
      </w:r>
      <w:r>
        <w:rPr>
          <w:rFonts w:ascii="FangSong_GB2312" w:eastAsia="FangSong_GB2312" w:hAnsi="FangSong_GB2312" w:cs="FangSong_GB2312" w:hint="eastAsia"/>
          <w:sz w:val="32"/>
          <w:szCs w:val="32"/>
        </w:rPr>
        <w:t>徐闻北港</w:t>
      </w:r>
      <w:r>
        <w:rPr>
          <w:rFonts w:ascii="FangSong_GB2312" w:eastAsia="FangSong_GB2312" w:hAnsi="FangSong_GB2312" w:cs="FangSong_GB2312" w:hint="eastAsia"/>
          <w:sz w:val="32"/>
          <w:szCs w:val="32"/>
          <w:lang w:bidi="ar"/>
        </w:rPr>
        <w:t>—</w:t>
      </w:r>
      <w:r>
        <w:rPr>
          <w:rFonts w:ascii="FangSong_GB2312" w:eastAsia="FangSong_GB2312" w:hAnsi="FangSong_GB2312" w:cs="FangSong_GB2312" w:hint="eastAsia"/>
          <w:sz w:val="32"/>
          <w:szCs w:val="32"/>
        </w:rPr>
        <w:t>徐闻南山”一主一备航路，服务跨海交通、跨海物流等场景开发，拓展提升琼州海峡通道能力。</w:t>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4"/>
      </w:tblGrid>
      <w:tr w:rsidR="00000000" w14:paraId="63C960D5" w14:textId="77777777">
        <w:trPr>
          <w:trHeight w:val="759"/>
        </w:trPr>
        <w:tc>
          <w:tcPr>
            <w:tcW w:w="5000" w:type="pct"/>
            <w:vAlign w:val="center"/>
          </w:tcPr>
          <w:p w14:paraId="0CEC641D" w14:textId="77777777" w:rsidR="00000000" w:rsidRDefault="00000000">
            <w:pPr>
              <w:spacing w:line="600" w:lineRule="exact"/>
              <w:jc w:val="center"/>
              <w:rPr>
                <w:rFonts w:ascii="SimHei" w:eastAsia="SimHei" w:hAnsi="SimHei" w:cs="SimHei" w:hint="eastAsia"/>
                <w:sz w:val="32"/>
                <w:szCs w:val="32"/>
              </w:rPr>
            </w:pPr>
            <w:r>
              <w:rPr>
                <w:rFonts w:ascii="SimHei" w:eastAsia="SimHei" w:hAnsi="SimHei" w:cs="SimHei" w:hint="eastAsia"/>
                <w:sz w:val="32"/>
                <w:szCs w:val="32"/>
              </w:rPr>
              <w:t>专栏8  对外综合大通道重大工程（4个）</w:t>
            </w:r>
          </w:p>
        </w:tc>
      </w:tr>
      <w:tr w:rsidR="00000000" w14:paraId="42BAEBC1" w14:textId="77777777">
        <w:tc>
          <w:tcPr>
            <w:tcW w:w="5000" w:type="pct"/>
          </w:tcPr>
          <w:p w14:paraId="3F94C357" w14:textId="77777777" w:rsidR="00000000" w:rsidRDefault="00000000">
            <w:pPr>
              <w:spacing w:line="58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1.铁路通道（1个）：建设</w:t>
            </w:r>
            <w:r>
              <w:rPr>
                <w:rFonts w:ascii="FangSong_GB2312" w:eastAsia="FangSong_GB2312" w:hAnsi="FangSong_GB2312" w:cs="FangSong_GB2312" w:hint="eastAsia"/>
                <w:sz w:val="32"/>
                <w:szCs w:val="32"/>
              </w:rPr>
              <w:t>湛海高铁（新建湛江至海口跨海轮渡及相关线路工程）。</w:t>
            </w:r>
          </w:p>
          <w:p w14:paraId="4916B307" w14:textId="77777777" w:rsidR="00000000" w:rsidRDefault="00000000">
            <w:pPr>
              <w:spacing w:line="58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lastRenderedPageBreak/>
              <w:t>2.公路通道（1个）：建设</w:t>
            </w:r>
            <w:r>
              <w:rPr>
                <w:rFonts w:ascii="FangSong_GB2312" w:eastAsia="FangSong_GB2312" w:hAnsi="FangSong_GB2312" w:cs="FangSong_GB2312" w:hint="eastAsia"/>
                <w:sz w:val="32"/>
                <w:szCs w:val="32"/>
              </w:rPr>
              <w:t>G75兰海高速海口段。</w:t>
            </w:r>
          </w:p>
          <w:p w14:paraId="06DEE5E5" w14:textId="77777777" w:rsidR="00000000" w:rsidRDefault="00000000">
            <w:pPr>
              <w:spacing w:line="58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3.滚装通道（1个）：建设</w:t>
            </w:r>
            <w:r>
              <w:rPr>
                <w:rFonts w:ascii="FangSong_GB2312" w:eastAsia="FangSong_GB2312" w:hAnsi="FangSong_GB2312" w:cs="FangSong_GB2312" w:hint="eastAsia"/>
                <w:sz w:val="32"/>
                <w:szCs w:val="32"/>
              </w:rPr>
              <w:t>琼州海峡滚装第二通道。</w:t>
            </w:r>
          </w:p>
          <w:p w14:paraId="30262735" w14:textId="77777777" w:rsidR="00000000" w:rsidRDefault="00000000">
            <w:pPr>
              <w:spacing w:line="58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4.低空通道（1个）：建设</w:t>
            </w:r>
            <w:r>
              <w:rPr>
                <w:rFonts w:ascii="FangSong_GB2312" w:eastAsia="FangSong_GB2312" w:hAnsi="FangSong_GB2312" w:cs="FangSong_GB2312" w:hint="eastAsia"/>
                <w:sz w:val="32"/>
                <w:szCs w:val="32"/>
              </w:rPr>
              <w:t>一主一备跨琼州海峡低空航路。</w:t>
            </w:r>
          </w:p>
        </w:tc>
      </w:tr>
    </w:tbl>
    <w:p w14:paraId="17F31A3E" w14:textId="77777777" w:rsidR="00000000" w:rsidRDefault="00000000">
      <w:pPr>
        <w:keepNext/>
        <w:keepLines/>
        <w:spacing w:before="10" w:afterLines="30" w:after="176" w:line="600" w:lineRule="exact"/>
        <w:jc w:val="center"/>
        <w:outlineLvl w:val="1"/>
        <w:rPr>
          <w:rFonts w:eastAsia="KaiTi" w:cs="Times New Roman"/>
          <w:sz w:val="32"/>
          <w:szCs w:val="32"/>
        </w:rPr>
      </w:pPr>
      <w:bookmarkStart w:id="79" w:name="_Toc1862988174"/>
      <w:bookmarkStart w:id="80" w:name="_Toc2011178365"/>
      <w:bookmarkStart w:id="81" w:name="_Toc19419"/>
      <w:bookmarkStart w:id="82" w:name="_Toc4134"/>
      <w:bookmarkStart w:id="83" w:name="_Toc1080899568"/>
      <w:bookmarkStart w:id="84" w:name="_Toc1214401269"/>
      <w:bookmarkStart w:id="85" w:name="_Toc813588270"/>
      <w:bookmarkStart w:id="86" w:name="_Toc318783846"/>
      <w:r>
        <w:rPr>
          <w:rFonts w:eastAsia="KaiTi" w:cs="Times New Roman"/>
          <w:sz w:val="32"/>
          <w:szCs w:val="32"/>
        </w:rPr>
        <w:lastRenderedPageBreak/>
        <w:t>第四节</w:t>
      </w:r>
      <w:r>
        <w:rPr>
          <w:rFonts w:eastAsia="KaiTi" w:cs="Times New Roman"/>
          <w:sz w:val="32"/>
          <w:szCs w:val="32"/>
        </w:rPr>
        <w:t xml:space="preserve"> </w:t>
      </w:r>
      <w:r>
        <w:rPr>
          <w:rFonts w:eastAsia="KaiTi" w:cs="Times New Roman"/>
          <w:sz w:val="32"/>
          <w:szCs w:val="32"/>
        </w:rPr>
        <w:t>构建现代化综合立体交通网络</w:t>
      </w:r>
      <w:bookmarkEnd w:id="79"/>
      <w:bookmarkEnd w:id="80"/>
      <w:bookmarkEnd w:id="81"/>
      <w:bookmarkEnd w:id="82"/>
      <w:bookmarkEnd w:id="83"/>
      <w:bookmarkEnd w:id="84"/>
      <w:bookmarkEnd w:id="85"/>
      <w:bookmarkEnd w:id="86"/>
    </w:p>
    <w:p w14:paraId="644268CE"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分层打造高效协同衔接的岛内交通网络，优化升级旅游公路网络，统筹推进多网融合基础设施建设，着力提升连通效能与系统韧性。</w:t>
      </w:r>
    </w:p>
    <w:p w14:paraId="62BB8E16" w14:textId="77777777" w:rsidR="00000000" w:rsidRDefault="00000000">
      <w:pPr>
        <w:spacing w:line="600" w:lineRule="exact"/>
        <w:ind w:firstLineChars="200" w:firstLine="650"/>
        <w:rPr>
          <w:rFonts w:ascii="FangSong_GB2312" w:eastAsia="FangSong_GB2312" w:hAnsi="FangSong_GB2312" w:cs="FangSong_GB2312" w:hint="eastAsia"/>
          <w:b/>
          <w:bCs/>
          <w:sz w:val="32"/>
          <w:szCs w:val="32"/>
          <w:highlight w:val="yellow"/>
        </w:rPr>
      </w:pPr>
      <w:r>
        <w:rPr>
          <w:rFonts w:ascii="FangSong_GB2312" w:eastAsia="FangSong_GB2312" w:hAnsi="FangSong_GB2312" w:cs="FangSong_GB2312" w:hint="eastAsia"/>
          <w:b/>
          <w:bCs/>
          <w:sz w:val="32"/>
          <w:szCs w:val="32"/>
        </w:rPr>
        <w:t>建设高效衔接的快速网。</w:t>
      </w:r>
      <w:r>
        <w:rPr>
          <w:rFonts w:ascii="FangSong_GB2312" w:eastAsia="FangSong_GB2312" w:hAnsi="FangSong_GB2312" w:cs="FangSong_GB2312" w:hint="eastAsia"/>
          <w:sz w:val="32"/>
          <w:szCs w:val="32"/>
        </w:rPr>
        <w:t>推进补网强链提质，加强跨区域统筹布局、跨方式一体衔接。完善综合立体交通网主骨架，实施G98环岛高速公路等提档扩容工程，高质量建设跨区域快速通道，推动环岛高铁公交化运营，提升高速铁路、高速公路网对机场、港口、产业园区等连通覆盖。</w:t>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4"/>
      </w:tblGrid>
      <w:tr w:rsidR="00000000" w14:paraId="465B5822" w14:textId="77777777">
        <w:trPr>
          <w:trHeight w:val="796"/>
        </w:trPr>
        <w:tc>
          <w:tcPr>
            <w:tcW w:w="5000" w:type="pct"/>
            <w:vAlign w:val="center"/>
          </w:tcPr>
          <w:p w14:paraId="5046C75F" w14:textId="77777777" w:rsidR="00000000" w:rsidRDefault="00000000">
            <w:pPr>
              <w:spacing w:line="600" w:lineRule="exact"/>
              <w:jc w:val="center"/>
              <w:rPr>
                <w:rFonts w:ascii="SimHei" w:eastAsia="SimHei" w:hAnsi="SimHei" w:cs="SimHei" w:hint="eastAsia"/>
                <w:sz w:val="32"/>
                <w:szCs w:val="32"/>
              </w:rPr>
            </w:pPr>
            <w:r>
              <w:rPr>
                <w:rFonts w:ascii="SimHei" w:eastAsia="SimHei" w:hAnsi="SimHei" w:cs="SimHei" w:hint="eastAsia"/>
                <w:sz w:val="32"/>
                <w:szCs w:val="32"/>
              </w:rPr>
              <w:t xml:space="preserve">专栏9 </w:t>
            </w:r>
            <w:r>
              <w:rPr>
                <w:rFonts w:ascii="SimHei" w:eastAsia="SimHei" w:hAnsi="SimHei" w:cs="SimHei" w:hint="eastAsia"/>
                <w:sz w:val="32"/>
                <w:szCs w:val="32"/>
                <w:lang w:bidi="ar"/>
              </w:rPr>
              <w:t xml:space="preserve"> “快速公路网”</w:t>
            </w:r>
            <w:r>
              <w:rPr>
                <w:rFonts w:ascii="SimHei" w:eastAsia="SimHei" w:hAnsi="SimHei" w:cs="SimHei" w:hint="eastAsia"/>
                <w:sz w:val="32"/>
                <w:szCs w:val="32"/>
              </w:rPr>
              <w:t>重大工程（48个）</w:t>
            </w:r>
          </w:p>
        </w:tc>
      </w:tr>
      <w:tr w:rsidR="00000000" w14:paraId="577FE7C7" w14:textId="77777777">
        <w:tc>
          <w:tcPr>
            <w:tcW w:w="5000" w:type="pct"/>
          </w:tcPr>
          <w:p w14:paraId="3950FB46"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1.国家高速公路（7个）：续建</w:t>
            </w:r>
            <w:r>
              <w:rPr>
                <w:rFonts w:ascii="FangSong_GB2312" w:eastAsia="FangSong_GB2312" w:hAnsi="FangSong_GB2312" w:cs="FangSong_GB2312" w:hint="eastAsia"/>
                <w:sz w:val="32"/>
                <w:szCs w:val="32"/>
              </w:rPr>
              <w:t>G98环岛高速公路大三亚段扩容工程、G98环岛高速大茅隧道改造工程，</w:t>
            </w:r>
            <w:r>
              <w:rPr>
                <w:rFonts w:ascii="FangSong_GB2312" w:eastAsia="FangSong_GB2312" w:hAnsi="FangSong_GB2312" w:cs="FangSong_GB2312" w:hint="eastAsia"/>
                <w:b/>
                <w:bCs/>
                <w:sz w:val="32"/>
                <w:szCs w:val="32"/>
              </w:rPr>
              <w:t>建设</w:t>
            </w:r>
            <w:r>
              <w:rPr>
                <w:rFonts w:ascii="FangSong_GB2312" w:eastAsia="FangSong_GB2312" w:hAnsi="FangSong_GB2312" w:cs="FangSong_GB2312" w:hint="eastAsia"/>
                <w:sz w:val="32"/>
                <w:szCs w:val="32"/>
              </w:rPr>
              <w:t>G98环岛高速海口至博鳌段改扩建工程、G75兰海高速公路海口段新建工程。</w:t>
            </w:r>
            <w:r>
              <w:rPr>
                <w:rFonts w:ascii="FangSong_GB2312" w:eastAsia="FangSong_GB2312" w:hAnsi="FangSong_GB2312" w:cs="FangSong_GB2312" w:hint="eastAsia"/>
                <w:b/>
                <w:bCs/>
                <w:sz w:val="32"/>
                <w:szCs w:val="32"/>
              </w:rPr>
              <w:t>谋划</w:t>
            </w:r>
            <w:r>
              <w:rPr>
                <w:rFonts w:ascii="FangSong_GB2312" w:eastAsia="FangSong_GB2312" w:hAnsi="FangSong_GB2312" w:cs="FangSong_GB2312" w:hint="eastAsia"/>
                <w:sz w:val="32"/>
                <w:szCs w:val="32"/>
              </w:rPr>
              <w:t>G98环岛高速公路排浦互通至白莲互通段改扩建工程、G98环岛高速冲坡互通至排浦互通段改建工程、G98环岛高速琼海博鳌至陵水段扩容工程等。</w:t>
            </w:r>
          </w:p>
          <w:p w14:paraId="72C48DFC"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2.省级高速公路（11个）：续建</w:t>
            </w:r>
            <w:r>
              <w:rPr>
                <w:rFonts w:ascii="FangSong_GB2312" w:eastAsia="FangSong_GB2312" w:hAnsi="FangSong_GB2312" w:cs="FangSong_GB2312" w:hint="eastAsia"/>
                <w:sz w:val="32"/>
                <w:szCs w:val="32"/>
              </w:rPr>
              <w:t>什运至白沙高速公路鹦哥岭隧道及连接线工程，</w:t>
            </w:r>
            <w:r>
              <w:rPr>
                <w:rFonts w:ascii="FangSong_GB2312" w:eastAsia="FangSong_GB2312" w:hAnsi="FangSong_GB2312" w:cs="FangSong_GB2312" w:hint="eastAsia"/>
                <w:b/>
                <w:bCs/>
                <w:sz w:val="32"/>
                <w:szCs w:val="32"/>
              </w:rPr>
              <w:t>谋划</w:t>
            </w:r>
            <w:r>
              <w:rPr>
                <w:rFonts w:ascii="FangSong_GB2312" w:eastAsia="FangSong_GB2312" w:hAnsi="FangSong_GB2312" w:cs="FangSong_GB2312" w:hint="eastAsia"/>
                <w:sz w:val="32"/>
                <w:szCs w:val="32"/>
              </w:rPr>
              <w:t>S11海口至儋州高速公路、三亚至</w:t>
            </w:r>
            <w:r>
              <w:rPr>
                <w:rFonts w:ascii="FangSong_GB2312" w:eastAsia="FangSong_GB2312" w:hAnsi="FangSong_GB2312" w:cs="FangSong_GB2312" w:hint="eastAsia"/>
                <w:sz w:val="32"/>
                <w:szCs w:val="32"/>
              </w:rPr>
              <w:lastRenderedPageBreak/>
              <w:t>乐东高速公路、S88洋浦疏港高速公路二期（儋州机场高速连接线）、乐东至东方高速公路、琼海至儋州高速公路、五指山至三亚湾高速公路工程、海口江东新区至文昌发射场高速公路、什运至白沙高速公路贯通工程（鹦哥岭隧道口至牙叉互通段）、G9812海琼高速文城段至龙楼高速公路、S87海口美兰机场快速通道工程（桂林洋互通至美兰互通段）。</w:t>
            </w:r>
          </w:p>
          <w:p w14:paraId="7987E96A"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3.高速公路互通及连接线（25个）：续建</w:t>
            </w:r>
            <w:r>
              <w:rPr>
                <w:rFonts w:ascii="FangSong_GB2312" w:eastAsia="FangSong_GB2312" w:hAnsi="FangSong_GB2312" w:cs="FangSong_GB2312" w:hint="eastAsia"/>
                <w:sz w:val="32"/>
                <w:szCs w:val="32"/>
              </w:rPr>
              <w:t>三亚绕城高速凤凰机场互通及连接线工程、G98环岛高速名山互通及连接线工程、G98环岛高速八所互通工程、G98环岛高速公路南湾猴岛互通立交工程、G9811中线高速大同互通工程、G98环岛高速海澄互通及美安一纵路至互通段道路工程项目、G360文临高速美颖互通工程，</w:t>
            </w:r>
            <w:r>
              <w:rPr>
                <w:rFonts w:ascii="FangSong_GB2312" w:eastAsia="FangSong_GB2312" w:hAnsi="FangSong_GB2312" w:cs="FangSong_GB2312" w:hint="eastAsia"/>
                <w:b/>
                <w:bCs/>
                <w:sz w:val="32"/>
                <w:szCs w:val="32"/>
              </w:rPr>
              <w:t>建设</w:t>
            </w:r>
            <w:r>
              <w:rPr>
                <w:rFonts w:ascii="FangSong_GB2312" w:eastAsia="FangSong_GB2312" w:hAnsi="FangSong_GB2312" w:cs="FangSong_GB2312" w:hint="eastAsia"/>
                <w:sz w:val="32"/>
                <w:szCs w:val="32"/>
              </w:rPr>
              <w:t>G98环岛高速观澜湖互通改造工程、G98环岛高速公路荔枝沟互通改造工程、G98环岛高速公路火车站互通改造工程，</w:t>
            </w:r>
            <w:r>
              <w:rPr>
                <w:rFonts w:ascii="FangSong_GB2312" w:eastAsia="FangSong_GB2312" w:hAnsi="FangSong_GB2312" w:cs="FangSong_GB2312" w:hint="eastAsia"/>
                <w:b/>
                <w:bCs/>
                <w:sz w:val="32"/>
                <w:szCs w:val="32"/>
              </w:rPr>
              <w:t>谋划</w:t>
            </w:r>
            <w:r>
              <w:rPr>
                <w:rFonts w:ascii="FangSong_GB2312" w:eastAsia="FangSong_GB2312" w:hAnsi="FangSong_GB2312" w:cs="FangSong_GB2312" w:hint="eastAsia"/>
                <w:sz w:val="32"/>
                <w:szCs w:val="32"/>
              </w:rPr>
              <w:t>G98环岛高速公路红塘湾互通及连接线工程、G98环岛高速公路亚龙湾互通改造项目、G98环岛高速公路林旺互通改造及连接线工程、G9813万洋高速三湾互通及连接线工程、G98环岛高速公路万宁南互通改造工程、G98环岛高速公路万宁北互通改造工程、G98环岛高速公路石梅湾互通改造工程、G98环岛高速公路陵水互通立交工程项目、G98环岛高速公路神州半岛互通改造工程、G98环岛高速公路文罗互通立交改建工程、G98环岛高速公路叉河互通改造工程、G98环岛高速公路板桥互通改造工程、G9812海琼高速东路互通及连接线工程、G9812海琼高速华侨互通及连接线工程、G9812</w:t>
            </w:r>
            <w:r>
              <w:rPr>
                <w:rFonts w:ascii="FangSong_GB2312" w:eastAsia="FangSong_GB2312" w:hAnsi="FangSong_GB2312" w:cs="FangSong_GB2312" w:hint="eastAsia"/>
                <w:sz w:val="32"/>
                <w:szCs w:val="32"/>
              </w:rPr>
              <w:lastRenderedPageBreak/>
              <w:t>海琼高速滨江互通工程。</w:t>
            </w:r>
          </w:p>
          <w:p w14:paraId="6E1284DC"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4.高速公路附属设施项目（5个）：续建</w:t>
            </w:r>
            <w:r>
              <w:rPr>
                <w:rFonts w:ascii="FangSong_GB2312" w:eastAsia="FangSong_GB2312" w:hAnsi="FangSong_GB2312" w:cs="FangSong_GB2312" w:hint="eastAsia"/>
                <w:sz w:val="32"/>
                <w:szCs w:val="32"/>
              </w:rPr>
              <w:t>海南公路治超机电工程，</w:t>
            </w:r>
            <w:r>
              <w:rPr>
                <w:rFonts w:ascii="FangSong_GB2312" w:eastAsia="FangSong_GB2312" w:hAnsi="FangSong_GB2312" w:cs="FangSong_GB2312" w:hint="eastAsia"/>
                <w:b/>
                <w:bCs/>
                <w:sz w:val="32"/>
                <w:szCs w:val="32"/>
              </w:rPr>
              <w:t>建设</w:t>
            </w:r>
            <w:r>
              <w:rPr>
                <w:rFonts w:ascii="FangSong_GB2312" w:eastAsia="FangSong_GB2312" w:hAnsi="FangSong_GB2312" w:cs="FangSong_GB2312" w:hint="eastAsia"/>
                <w:sz w:val="32"/>
                <w:szCs w:val="32"/>
              </w:rPr>
              <w:t>高速公路服务区光储充一体化绿色能源走廊、</w:t>
            </w:r>
            <w:r>
              <w:rPr>
                <w:rFonts w:ascii="FangSong_GB2312" w:eastAsia="FangSong_GB2312" w:hAnsi="FangSong_GB2312" w:cs="FangSong_GB2312" w:hint="eastAsia"/>
                <w:sz w:val="32"/>
                <w:szCs w:val="32"/>
                <w:lang w:bidi="ar"/>
              </w:rPr>
              <w:t>G98海南环岛高速琼海至洋浦段公路安全韧性提升工程、国家区域级公路交通应急物资储备中心工程，</w:t>
            </w:r>
            <w:r>
              <w:rPr>
                <w:rFonts w:ascii="FangSong_GB2312" w:eastAsia="FangSong_GB2312" w:hAnsi="FangSong_GB2312" w:cs="FangSong_GB2312" w:hint="eastAsia"/>
                <w:b/>
                <w:bCs/>
                <w:sz w:val="32"/>
                <w:szCs w:val="32"/>
                <w:lang w:bidi="ar"/>
              </w:rPr>
              <w:t>谋划</w:t>
            </w:r>
            <w:r>
              <w:rPr>
                <w:rFonts w:ascii="FangSong_GB2312" w:eastAsia="FangSong_GB2312" w:hAnsi="FangSong_GB2312" w:cs="FangSong_GB2312" w:hint="eastAsia"/>
                <w:sz w:val="32"/>
                <w:szCs w:val="32"/>
              </w:rPr>
              <w:t>G98环岛高速羊山服务区新建工程。</w:t>
            </w:r>
          </w:p>
        </w:tc>
      </w:tr>
    </w:tbl>
    <w:p w14:paraId="60EBA0DF" w14:textId="77777777" w:rsidR="00000000" w:rsidRDefault="00000000">
      <w:pPr>
        <w:spacing w:line="580" w:lineRule="exact"/>
        <w:ind w:firstLineChars="200" w:firstLine="650"/>
        <w:rPr>
          <w:rFonts w:eastAsia="FangSong_GB2312" w:cs="Times New Roman"/>
          <w:b/>
          <w:bCs/>
          <w:sz w:val="32"/>
          <w:szCs w:val="32"/>
        </w:rPr>
      </w:pPr>
      <w:r>
        <w:rPr>
          <w:rFonts w:eastAsia="FangSong_GB2312" w:cs="Times New Roman"/>
          <w:b/>
          <w:bCs/>
          <w:sz w:val="32"/>
          <w:szCs w:val="32"/>
        </w:rPr>
        <w:lastRenderedPageBreak/>
        <w:t>构建安全韧性的干线网。</w:t>
      </w:r>
      <w:r>
        <w:rPr>
          <w:rFonts w:eastAsia="FangSong_GB2312" w:cs="Times New Roman"/>
          <w:sz w:val="32"/>
          <w:szCs w:val="32"/>
        </w:rPr>
        <w:t>实施国省干道提质升级工程，推进普通国省干道瓶颈路段升级改造，优化普通国省干道与城镇路网的衔接，强化对城镇、旅游景区等的连通。充分挖潜既有西环普速铁路货运能力，稳妥推进海口至东方段扩能改造。谋划推进海口经济圈、三亚经济圈城际铁路</w:t>
      </w:r>
      <w:r>
        <w:rPr>
          <w:rFonts w:eastAsia="FangSong_GB2312" w:cs="Times New Roman" w:hint="eastAsia"/>
          <w:sz w:val="32"/>
          <w:szCs w:val="32"/>
        </w:rPr>
        <w:t>、海南中线铁路、环岛高铁三亚新机场支线</w:t>
      </w:r>
      <w:r>
        <w:rPr>
          <w:rFonts w:eastAsia="FangSong_GB2312" w:cs="Times New Roman"/>
          <w:sz w:val="32"/>
          <w:szCs w:val="32"/>
        </w:rPr>
        <w:t>。</w:t>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4"/>
      </w:tblGrid>
      <w:tr w:rsidR="00000000" w14:paraId="4982165B" w14:textId="77777777">
        <w:trPr>
          <w:trHeight w:val="702"/>
        </w:trPr>
        <w:tc>
          <w:tcPr>
            <w:tcW w:w="5000" w:type="pct"/>
            <w:vAlign w:val="center"/>
          </w:tcPr>
          <w:p w14:paraId="4A877436" w14:textId="77777777" w:rsidR="00000000" w:rsidRDefault="00000000">
            <w:pPr>
              <w:spacing w:line="600" w:lineRule="exact"/>
              <w:jc w:val="center"/>
              <w:rPr>
                <w:rFonts w:ascii="SimHei" w:eastAsia="SimHei" w:hAnsi="SimHei" w:cs="SimHei" w:hint="eastAsia"/>
                <w:sz w:val="32"/>
                <w:szCs w:val="32"/>
              </w:rPr>
            </w:pPr>
            <w:r>
              <w:rPr>
                <w:rFonts w:ascii="SimHei" w:eastAsia="SimHei" w:hAnsi="SimHei" w:cs="SimHei" w:hint="eastAsia"/>
                <w:sz w:val="32"/>
                <w:szCs w:val="32"/>
              </w:rPr>
              <w:t>专栏10  “干线网”重大工程（69个）</w:t>
            </w:r>
          </w:p>
        </w:tc>
      </w:tr>
      <w:tr w:rsidR="00000000" w14:paraId="21DCE133" w14:textId="77777777">
        <w:tc>
          <w:tcPr>
            <w:tcW w:w="5000" w:type="pct"/>
          </w:tcPr>
          <w:p w14:paraId="1EA079A0" w14:textId="77777777" w:rsidR="00000000" w:rsidRDefault="00000000">
            <w:pPr>
              <w:widowControl/>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lang w:bidi="ar"/>
              </w:rPr>
              <w:t>1.普通国道（25个）：续建</w:t>
            </w:r>
            <w:r>
              <w:rPr>
                <w:rFonts w:ascii="FangSong_GB2312" w:eastAsia="FangSong_GB2312" w:hAnsi="FangSong_GB2312" w:cs="FangSong_GB2312" w:hint="eastAsia"/>
                <w:sz w:val="32"/>
                <w:szCs w:val="32"/>
                <w:lang w:bidi="ar"/>
              </w:rPr>
              <w:t>G225海榆西线东方段（国道G225八所至新龙段改扩建工程）、G642牛漏至营根镇段公路工程（原S304）、国道G225塔岭至海角段改扩建工程项目一期、国道G223万宁市长丰至兴隆段改建工程、G225乐东至三亚段（国道G225乐东至三亚段改扩建工程“五网合一”示范段）、国道G225海榆西线昌江段（国道G225海榆西线昌江段改建工程）。</w:t>
            </w:r>
            <w:r>
              <w:rPr>
                <w:rFonts w:ascii="FangSong_GB2312" w:eastAsia="FangSong_GB2312" w:hAnsi="FangSong_GB2312" w:cs="FangSong_GB2312" w:hint="eastAsia"/>
                <w:b/>
                <w:bCs/>
                <w:sz w:val="32"/>
                <w:szCs w:val="32"/>
                <w:lang w:bidi="ar"/>
              </w:rPr>
              <w:t>建设</w:t>
            </w:r>
            <w:r>
              <w:rPr>
                <w:rFonts w:ascii="FangSong_GB2312" w:eastAsia="FangSong_GB2312" w:hAnsi="FangSong_GB2312" w:cs="FangSong_GB2312" w:hint="eastAsia"/>
                <w:sz w:val="32"/>
                <w:szCs w:val="32"/>
                <w:lang w:bidi="ar"/>
              </w:rPr>
              <w:t>凤凰机场天涯连接线扩容工程项目（原国道G225塔岭至海角段改扩建工程二期）、G360龙楼至东郊段改建工程、国道G540毛九线抱由镇改线工程、国道G224海榆中线屯昌段改建工程（一期），</w:t>
            </w:r>
            <w:r>
              <w:rPr>
                <w:rFonts w:ascii="FangSong_GB2312" w:eastAsia="FangSong_GB2312" w:hAnsi="FangSong_GB2312" w:cs="FangSong_GB2312" w:hint="eastAsia"/>
                <w:b/>
                <w:bCs/>
                <w:sz w:val="32"/>
                <w:szCs w:val="32"/>
                <w:lang w:bidi="ar"/>
              </w:rPr>
              <w:t>谋划</w:t>
            </w:r>
            <w:r>
              <w:rPr>
                <w:rFonts w:ascii="FangSong_GB2312" w:eastAsia="FangSong_GB2312" w:hAnsi="FangSong_GB2312" w:cs="FangSong_GB2312" w:hint="eastAsia"/>
                <w:sz w:val="32"/>
                <w:szCs w:val="32"/>
                <w:lang w:bidi="ar"/>
              </w:rPr>
              <w:t>国道G223海榆东线</w:t>
            </w:r>
            <w:r>
              <w:rPr>
                <w:rFonts w:ascii="FangSong_GB2312" w:eastAsia="FangSong_GB2312" w:hAnsi="FangSong_GB2312" w:cs="FangSong_GB2312" w:hint="eastAsia"/>
                <w:sz w:val="32"/>
                <w:szCs w:val="32"/>
                <w:lang w:bidi="ar"/>
              </w:rPr>
              <w:lastRenderedPageBreak/>
              <w:t>椰林至新村段改线工程、国道G223海榆东线万宁市后安七星村至大茂龙尾桥段改造工程、国道G223海榆东线琼海过境段公路工程、国道G224海榆中线琼中县过境段公路工程、国道G642万洋线那大至兰洋段新建工程、国道G225海榆西线澄迈老城段、白莲段、金江段改扩建工程、国道G225海榆西线澄迈福山段改线工程、国道G225儋州市那大西段提升改造工程、国道G223椰林镇桃源大桥拼宽改造工程、国道G223海榆东线曲港至藤桥段改扩建工程、国道G360文临公路德老村至吉利村段改建公路工程、国道G361陵昌线九架岭隧道新建项目、国道G225海榆西线新龙至板桥段改扩建工程、国道G225海榆西线大田至八所段改扩建工程、国道G224海榆中线迎宾互通至保亭三道镇段改扩建工程 。</w:t>
            </w:r>
          </w:p>
          <w:p w14:paraId="0D66BD6E"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lang w:bidi="ar"/>
              </w:rPr>
              <w:t>2.普通省道（38个）：续建</w:t>
            </w:r>
            <w:r>
              <w:rPr>
                <w:rFonts w:ascii="FangSong_GB2312" w:eastAsia="FangSong_GB2312" w:hAnsi="FangSong_GB2312" w:cs="FangSong_GB2312" w:hint="eastAsia"/>
                <w:sz w:val="32"/>
                <w:szCs w:val="32"/>
                <w:lang w:bidi="ar"/>
              </w:rPr>
              <w:t>博鳌核心区对外交通疏散主要交通基础建设项目、环新英湾快速干道（省道S315）、海口羊山大道至定安母瑞山公路（定安琼海段）、省道S311十昌线改建工程（旅游公路2.0版）、省道S303屯大线雨水岭大道至大拉段改建工程、省道S315白洋线吴朗至西培农场段改建工程、省道S291白新线改建工程、省道S220大仁线儒昂村至儒林村段、那宋村路口至美合段新改建工程、省道S213加博线嘉积至博鳌禅寺段改建工程、省道S321福博线永顺至德老段改建工程、省道S345坡新线改建工程、省道S211波华线洛基至西华互通段新建工程、省道S309文南线蓬莱至龙湖段改建工程、省道S301加文线花料至文儒段改建工程、省道S275</w:t>
            </w:r>
            <w:r>
              <w:rPr>
                <w:rFonts w:ascii="FangSong_GB2312" w:eastAsia="FangSong_GB2312" w:hAnsi="FangSong_GB2312" w:cs="FangSong_GB2312" w:hint="eastAsia"/>
                <w:sz w:val="32"/>
                <w:szCs w:val="32"/>
                <w:lang w:bidi="ar"/>
              </w:rPr>
              <w:lastRenderedPageBreak/>
              <w:t>孔红线石碌至红林段改建工程、省道S330里石线新改建工程、省道S325龙文线新建工程、省道S314天四线新宁坡至四更段改建工程、省道S376曲政线新建工程、省道S287叉新线七叉路口至新龙段新改建工程。</w:t>
            </w:r>
            <w:r>
              <w:rPr>
                <w:rFonts w:ascii="FangSong_GB2312" w:eastAsia="FangSong_GB2312" w:hAnsi="FangSong_GB2312" w:cs="FangSong_GB2312" w:hint="eastAsia"/>
                <w:b/>
                <w:bCs/>
                <w:sz w:val="32"/>
                <w:szCs w:val="32"/>
                <w:lang w:bidi="ar"/>
              </w:rPr>
              <w:t>建设</w:t>
            </w:r>
            <w:r>
              <w:rPr>
                <w:rFonts w:ascii="FangSong_GB2312" w:eastAsia="FangSong_GB2312" w:hAnsi="FangSong_GB2312" w:cs="FangSong_GB2312" w:hint="eastAsia"/>
                <w:sz w:val="32"/>
                <w:szCs w:val="32"/>
                <w:lang w:bidi="ar"/>
              </w:rPr>
              <w:t>省道S215长英线新改建工程、省道S352七海线新改建工程、省道S229马松线金江大桥至松涛段新改建工程（省道S229马松线金江至松涛段新改建工程）、省道S315白洋线吴朗至牙叉段新改建工程、省道S202演阳线演海至云龙段改建工程、省道S336吉营线（吉安至中平镇南坵段）改建工程。</w:t>
            </w:r>
            <w:r>
              <w:rPr>
                <w:rFonts w:ascii="FangSong_GB2312" w:eastAsia="FangSong_GB2312" w:hAnsi="FangSong_GB2312" w:cs="FangSong_GB2312" w:hint="eastAsia"/>
                <w:b/>
                <w:bCs/>
                <w:sz w:val="32"/>
                <w:szCs w:val="32"/>
                <w:lang w:bidi="ar"/>
              </w:rPr>
              <w:t>谋划</w:t>
            </w:r>
            <w:r>
              <w:rPr>
                <w:rFonts w:ascii="FangSong_GB2312" w:eastAsia="FangSong_GB2312" w:hAnsi="FangSong_GB2312" w:cs="FangSong_GB2312" w:hint="eastAsia"/>
                <w:sz w:val="32"/>
                <w:szCs w:val="32"/>
                <w:lang w:bidi="ar"/>
              </w:rPr>
              <w:t>省道S251调抱线新建工程、省道S505金加线改建工程、省道S215长英线矮岭至英州段新改建工程、省道S320湖大线湖心村至上崀村段、抱罗三角路至谭文段、定城至大拉段新改建工程、省道S322老马线（工业大道）新改建工程、省道S376曲政线延长线改造工程（新政至三亚段）、省道S310邦海线改建工程、省道S220大仁线新竹互通至海榆中线段改扩建工程、省道S302黄屯线龙门镇过镇段新改建工程、省道S301加文线嘉积至龙河段改扩建工程、省道S302黄屯线龙河至屯昌段改扩建工程、省道S323椰海立交至马村段新改建工程。</w:t>
            </w:r>
          </w:p>
          <w:p w14:paraId="397DD152" w14:textId="77777777" w:rsidR="00000000" w:rsidRDefault="00000000">
            <w:pPr>
              <w:spacing w:line="580" w:lineRule="exact"/>
              <w:ind w:firstLineChars="200" w:firstLine="650"/>
              <w:rPr>
                <w:rFonts w:ascii="FangSong_GB2312" w:eastAsia="FangSong_GB2312" w:hAnsi="FangSong_GB2312" w:cs="FangSong_GB2312" w:hint="eastAsia"/>
                <w:b/>
                <w:bCs/>
                <w:sz w:val="32"/>
                <w:szCs w:val="32"/>
              </w:rPr>
            </w:pPr>
            <w:r>
              <w:rPr>
                <w:rFonts w:ascii="FangSong_GB2312" w:eastAsia="FangSong_GB2312" w:hAnsi="FangSong_GB2312" w:cs="FangSong_GB2312" w:hint="eastAsia"/>
                <w:b/>
                <w:bCs/>
                <w:sz w:val="32"/>
                <w:szCs w:val="32"/>
              </w:rPr>
              <w:t>3.其他项目（1个）：建设</w:t>
            </w:r>
            <w:r>
              <w:rPr>
                <w:rFonts w:ascii="FangSong_GB2312" w:eastAsia="FangSong_GB2312" w:hAnsi="FangSong_GB2312" w:cs="FangSong_GB2312" w:hint="eastAsia"/>
                <w:sz w:val="32"/>
                <w:szCs w:val="32"/>
              </w:rPr>
              <w:t>普通国省道多功能交通调查站建设项目。</w:t>
            </w:r>
          </w:p>
          <w:p w14:paraId="2AD3FEA6"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4.铁路项目（5个）：谋划</w:t>
            </w:r>
            <w:r>
              <w:rPr>
                <w:rFonts w:ascii="FangSong_GB2312" w:eastAsia="FangSong_GB2312" w:hAnsi="FangSong_GB2312" w:cs="FangSong_GB2312" w:hint="eastAsia"/>
                <w:sz w:val="32"/>
                <w:szCs w:val="32"/>
              </w:rPr>
              <w:t>既有西环普速铁路海口至东方段扩能改造、环岛高铁三亚新机场支线、海口经济圈城际铁路S1线和S2线、三亚经济圈城际铁路S2线部分线路工程。</w:t>
            </w:r>
          </w:p>
        </w:tc>
      </w:tr>
    </w:tbl>
    <w:p w14:paraId="31B83287" w14:textId="77777777" w:rsidR="00000000" w:rsidRDefault="00000000">
      <w:pPr>
        <w:spacing w:line="60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lastRenderedPageBreak/>
        <w:t>打造便捷通畅的基础网。</w:t>
      </w:r>
      <w:r>
        <w:rPr>
          <w:rFonts w:ascii="FangSong_GB2312" w:eastAsia="FangSong_GB2312" w:hAnsi="FangSong_GB2312" w:cs="FangSong_GB2312" w:hint="eastAsia"/>
          <w:sz w:val="32"/>
          <w:szCs w:val="32"/>
        </w:rPr>
        <w:t>推进铁路专支线进港入园。强化薄弱地区覆盖和通达保障，持续推进“四好农村路”建设，积极开展新一轮的农村公路提质升级行动，实施和完善农村公路安全生命防护工程。有序推进以路网升级为基础骨架同步推进多网融合项目建设，提升基础设施系统性、协同性与安全韧性。</w:t>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4"/>
      </w:tblGrid>
      <w:tr w:rsidR="00000000" w14:paraId="2FFCC095" w14:textId="77777777">
        <w:trPr>
          <w:trHeight w:val="721"/>
        </w:trPr>
        <w:tc>
          <w:tcPr>
            <w:tcW w:w="5000" w:type="pct"/>
            <w:vAlign w:val="center"/>
          </w:tcPr>
          <w:p w14:paraId="02772616" w14:textId="77777777" w:rsidR="00000000" w:rsidRDefault="00000000">
            <w:pPr>
              <w:spacing w:line="600" w:lineRule="exact"/>
              <w:jc w:val="center"/>
              <w:rPr>
                <w:rFonts w:ascii="SimHei" w:eastAsia="SimHei" w:hAnsi="SimHei" w:cs="SimHei" w:hint="eastAsia"/>
                <w:sz w:val="32"/>
                <w:szCs w:val="32"/>
              </w:rPr>
            </w:pPr>
            <w:r>
              <w:rPr>
                <w:rFonts w:ascii="SimHei" w:eastAsia="SimHei" w:hAnsi="SimHei" w:cs="SimHei" w:hint="eastAsia"/>
                <w:sz w:val="32"/>
                <w:szCs w:val="32"/>
              </w:rPr>
              <w:t>专栏11  “基础网”重大工程（10个）</w:t>
            </w:r>
          </w:p>
        </w:tc>
      </w:tr>
      <w:tr w:rsidR="00000000" w14:paraId="0CB7945E" w14:textId="77777777">
        <w:tc>
          <w:tcPr>
            <w:tcW w:w="5000" w:type="pct"/>
          </w:tcPr>
          <w:p w14:paraId="0E74DC84"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铁路专支线项目（5个）：建设</w:t>
            </w:r>
            <w:r>
              <w:rPr>
                <w:rFonts w:ascii="FangSong_GB2312" w:eastAsia="FangSong_GB2312" w:hAnsi="FangSong_GB2312" w:cs="FangSong_GB2312" w:hint="eastAsia"/>
                <w:sz w:val="32"/>
                <w:szCs w:val="32"/>
              </w:rPr>
              <w:t>儋州至洋浦铁路、澄迈新型生态环保建材产业基地铁路支线、乐东港铁路支线、东方高排港铁路支线等，</w:t>
            </w:r>
            <w:r>
              <w:rPr>
                <w:rFonts w:ascii="FangSong_GB2312" w:eastAsia="FangSong_GB2312" w:hAnsi="FangSong_GB2312" w:cs="FangSong_GB2312" w:hint="eastAsia"/>
                <w:b/>
                <w:bCs/>
                <w:sz w:val="32"/>
                <w:szCs w:val="32"/>
              </w:rPr>
              <w:t>谋划</w:t>
            </w:r>
            <w:r>
              <w:rPr>
                <w:rFonts w:ascii="FangSong_GB2312" w:eastAsia="FangSong_GB2312" w:hAnsi="FangSong_GB2312" w:cs="FangSong_GB2312" w:hint="eastAsia"/>
                <w:sz w:val="32"/>
                <w:szCs w:val="32"/>
              </w:rPr>
              <w:t>三亚新机场铁路专用线。</w:t>
            </w:r>
          </w:p>
          <w:p w14:paraId="343C69E7"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多网融合项目（5个）</w:t>
            </w:r>
            <w:r>
              <w:rPr>
                <w:rFonts w:ascii="FangSong_GB2312" w:eastAsia="FangSong_GB2312" w:hAnsi="FangSong_GB2312" w:cs="FangSong_GB2312" w:hint="eastAsia"/>
                <w:sz w:val="32"/>
                <w:szCs w:val="32"/>
              </w:rPr>
              <w:t>：在G75兰海高速公路海口段新建工程、G98环岛高速海口至博鳌段改扩建工程、G98环岛高速琼海博鳌至陵水段扩容工程、S11海口至儋州高速公路、三亚至乐东至东方高速公路等路段，</w:t>
            </w:r>
            <w:r>
              <w:rPr>
                <w:rFonts w:ascii="FangSong_GB2312" w:eastAsia="FangSong_GB2312" w:hAnsi="FangSong_GB2312" w:cs="FangSong_GB2312" w:hint="eastAsia"/>
                <w:b/>
                <w:bCs/>
                <w:sz w:val="32"/>
                <w:szCs w:val="32"/>
              </w:rPr>
              <w:t>谋划</w:t>
            </w:r>
            <w:r>
              <w:rPr>
                <w:rFonts w:ascii="FangSong_GB2312" w:eastAsia="FangSong_GB2312" w:hAnsi="FangSong_GB2312" w:cs="FangSong_GB2312" w:hint="eastAsia"/>
                <w:sz w:val="32"/>
                <w:szCs w:val="32"/>
              </w:rPr>
              <w:t>推进多网融合项目建设。</w:t>
            </w:r>
          </w:p>
        </w:tc>
      </w:tr>
    </w:tbl>
    <w:p w14:paraId="79C39EA1"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完善“双环”旅游公路体系。</w:t>
      </w:r>
      <w:r>
        <w:rPr>
          <w:rFonts w:ascii="FangSong_GB2312" w:eastAsia="FangSong_GB2312" w:hAnsi="FangSong_GB2312" w:cs="FangSong_GB2312" w:hint="eastAsia"/>
          <w:sz w:val="32"/>
          <w:szCs w:val="32"/>
        </w:rPr>
        <w:t>完善“双环”旅游公路间的连接线，形成“两环多连”的“珍珠链”网络体系和全域“珍珠串”式聚合发展格局，推动全岛旅游公路提质升级，打造具有国际品质、海南气质、综合集成、赋能全域的世界一流旅游公路网络体系。</w:t>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4"/>
      </w:tblGrid>
      <w:tr w:rsidR="00000000" w14:paraId="62BDC4C1" w14:textId="77777777">
        <w:trPr>
          <w:trHeight w:val="748"/>
        </w:trPr>
        <w:tc>
          <w:tcPr>
            <w:tcW w:w="5000" w:type="pct"/>
            <w:vAlign w:val="center"/>
          </w:tcPr>
          <w:p w14:paraId="60A98770" w14:textId="77777777" w:rsidR="00000000" w:rsidRDefault="00000000">
            <w:pPr>
              <w:spacing w:line="600" w:lineRule="exact"/>
              <w:jc w:val="center"/>
              <w:rPr>
                <w:rFonts w:ascii="SimHei" w:eastAsia="SimHei" w:hAnsi="SimHei" w:cs="SimHei" w:hint="eastAsia"/>
                <w:sz w:val="32"/>
                <w:szCs w:val="32"/>
              </w:rPr>
            </w:pPr>
            <w:r>
              <w:rPr>
                <w:rFonts w:ascii="SimHei" w:eastAsia="SimHei" w:hAnsi="SimHei" w:cs="SimHei" w:hint="eastAsia"/>
                <w:sz w:val="32"/>
                <w:szCs w:val="32"/>
              </w:rPr>
              <w:t xml:space="preserve">专栏12 </w:t>
            </w:r>
            <w:r>
              <w:rPr>
                <w:rFonts w:ascii="SimHei" w:eastAsia="SimHei" w:hAnsi="SimHei" w:cs="SimHei" w:hint="eastAsia"/>
                <w:sz w:val="32"/>
                <w:szCs w:val="32"/>
                <w:lang w:val="en"/>
              </w:rPr>
              <w:t xml:space="preserve"> </w:t>
            </w:r>
            <w:r>
              <w:rPr>
                <w:rFonts w:ascii="SimHei" w:eastAsia="SimHei" w:hAnsi="SimHei" w:cs="SimHei" w:hint="eastAsia"/>
                <w:sz w:val="32"/>
                <w:szCs w:val="32"/>
              </w:rPr>
              <w:t>“双环”旅游公路重大工程（5个）</w:t>
            </w:r>
          </w:p>
        </w:tc>
      </w:tr>
      <w:tr w:rsidR="00000000" w14:paraId="09DBB0FB" w14:textId="77777777">
        <w:tc>
          <w:tcPr>
            <w:tcW w:w="5000" w:type="pct"/>
          </w:tcPr>
          <w:p w14:paraId="2531FDA0" w14:textId="77777777" w:rsidR="00000000" w:rsidRDefault="00000000">
            <w:pPr>
              <w:spacing w:line="58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谋划</w:t>
            </w:r>
            <w:r>
              <w:rPr>
                <w:rFonts w:ascii="FangSong_GB2312" w:eastAsia="FangSong_GB2312" w:hAnsi="FangSong_GB2312" w:cs="FangSong_GB2312" w:hint="eastAsia"/>
                <w:sz w:val="32"/>
                <w:szCs w:val="32"/>
              </w:rPr>
              <w:t>S517乐东县抱由至尖峰岭旅游公路、海南省环岛旅游公路（临高渔港群段）工程</w:t>
            </w:r>
            <w:r>
              <w:rPr>
                <w:rFonts w:ascii="FangSong_GB2312" w:eastAsia="FangSong_GB2312" w:hAnsi="FangSong_GB2312" w:cs="FangSong_GB2312" w:hint="eastAsia"/>
                <w:b/>
                <w:bCs/>
                <w:sz w:val="32"/>
                <w:szCs w:val="32"/>
              </w:rPr>
              <w:t>、</w:t>
            </w:r>
            <w:r>
              <w:rPr>
                <w:rFonts w:ascii="FangSong_GB2312" w:eastAsia="FangSong_GB2312" w:hAnsi="FangSong_GB2312" w:cs="FangSong_GB2312" w:hint="eastAsia"/>
                <w:sz w:val="32"/>
                <w:szCs w:val="32"/>
              </w:rPr>
              <w:t>海南省旅游公路提质升级工程、S520环岛旅游公路石梅湾至香水湾段新建工程、S518黄流互</w:t>
            </w:r>
            <w:r>
              <w:rPr>
                <w:rFonts w:ascii="FangSong_GB2312" w:eastAsia="FangSong_GB2312" w:hAnsi="FangSong_GB2312" w:cs="FangSong_GB2312" w:hint="eastAsia"/>
                <w:sz w:val="32"/>
                <w:szCs w:val="32"/>
              </w:rPr>
              <w:lastRenderedPageBreak/>
              <w:t>通至环岛旅游公路工程（一期）。</w:t>
            </w:r>
          </w:p>
        </w:tc>
      </w:tr>
    </w:tbl>
    <w:p w14:paraId="4C213618"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lastRenderedPageBreak/>
        <w:t>构建健康安全低空网。</w:t>
      </w:r>
      <w:r>
        <w:rPr>
          <w:rFonts w:ascii="FangSong_GB2312" w:eastAsia="FangSong_GB2312" w:hAnsi="FangSong_GB2312" w:cs="FangSong_GB2312" w:hint="eastAsia"/>
          <w:sz w:val="32"/>
          <w:szCs w:val="32"/>
        </w:rPr>
        <w:t>聚焦安全有序、全域覆盖的低空交通体系建设，完善各类低空运行设施与配套保障条件，筑牢海南自贸港低空经济高质量发展基础。布局环岛、跨琼州海峡低空基础设施，统筹推进通用机场和低空垂直起降场布局建设，织密陆海联动、环岛贯通、跨峡互通的低空公共航路网络，一体完善低空通信、导航、监视和气象等配套基础设施，构建“通用机场+起降点+航路网+保障网”四位一体低空网络格局。</w:t>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4"/>
      </w:tblGrid>
      <w:tr w:rsidR="00000000" w14:paraId="76FBC3FB" w14:textId="77777777">
        <w:trPr>
          <w:trHeight w:val="759"/>
        </w:trPr>
        <w:tc>
          <w:tcPr>
            <w:tcW w:w="5000" w:type="pct"/>
            <w:vAlign w:val="center"/>
          </w:tcPr>
          <w:p w14:paraId="3125174D" w14:textId="77777777" w:rsidR="00000000" w:rsidRDefault="00000000">
            <w:pPr>
              <w:spacing w:line="600" w:lineRule="exact"/>
              <w:jc w:val="center"/>
              <w:rPr>
                <w:rFonts w:ascii="SimHei" w:eastAsia="SimHei" w:hAnsi="SimHei" w:cs="SimHei" w:hint="eastAsia"/>
                <w:sz w:val="32"/>
                <w:szCs w:val="32"/>
              </w:rPr>
            </w:pPr>
            <w:r>
              <w:rPr>
                <w:rFonts w:ascii="SimHei" w:eastAsia="SimHei" w:hAnsi="SimHei" w:cs="SimHei" w:hint="eastAsia"/>
                <w:sz w:val="32"/>
                <w:szCs w:val="32"/>
              </w:rPr>
              <w:t>专栏13</w:t>
            </w:r>
            <w:r>
              <w:rPr>
                <w:rFonts w:ascii="SimHei" w:eastAsia="SimHei" w:hAnsi="SimHei" w:cs="SimHei" w:hint="eastAsia"/>
                <w:sz w:val="32"/>
                <w:szCs w:val="32"/>
                <w:lang w:val="en"/>
              </w:rPr>
              <w:t xml:space="preserve">  </w:t>
            </w:r>
            <w:r>
              <w:rPr>
                <w:rFonts w:ascii="SimHei" w:eastAsia="SimHei" w:hAnsi="SimHei" w:cs="SimHei" w:hint="eastAsia"/>
                <w:sz w:val="32"/>
                <w:szCs w:val="32"/>
              </w:rPr>
              <w:t>低空基础设施重大工程（36个）</w:t>
            </w:r>
          </w:p>
        </w:tc>
      </w:tr>
      <w:tr w:rsidR="00000000" w14:paraId="07413CDE" w14:textId="77777777">
        <w:tc>
          <w:tcPr>
            <w:tcW w:w="5000" w:type="pct"/>
          </w:tcPr>
          <w:p w14:paraId="339A5A50"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1.通用机场建设项目（11个）：</w:t>
            </w:r>
            <w:r>
              <w:rPr>
                <w:rFonts w:ascii="FangSong_GB2312" w:eastAsia="FangSong_GB2312" w:hAnsi="FangSong_GB2312" w:cs="FangSong_GB2312" w:hint="eastAsia"/>
                <w:sz w:val="32"/>
                <w:szCs w:val="32"/>
              </w:rPr>
              <w:t>海口甲子、三亚天涯、东方大田、儋州和庆、白沙元门5个通用机场升级改造项目，新建临高马袅、文昌2个通用机场，同步开展万宁、琼中、保亭、五指山4个通用机场前期工作。</w:t>
            </w:r>
          </w:p>
          <w:p w14:paraId="438778B8"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2.低空垂直起降设施建设项目（23个）：</w:t>
            </w:r>
            <w:r>
              <w:rPr>
                <w:rFonts w:ascii="FangSong_GB2312" w:eastAsia="FangSong_GB2312" w:hAnsi="FangSong_GB2312" w:cs="FangSong_GB2312" w:hint="eastAsia"/>
                <w:sz w:val="32"/>
                <w:szCs w:val="32"/>
              </w:rPr>
              <w:t>建设海口、三亚、儋州3个一级低空垂直起降设施；全省建设20个二级低空垂直起降设施；按需在高铁站、机场、码头、驿站、学校、医院、景区、公路沿线、产业园区等建设若干三级低空垂直起降设施。</w:t>
            </w:r>
          </w:p>
          <w:p w14:paraId="3F2EF386"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3.低空公共航路建设项目（2个）：</w:t>
            </w:r>
            <w:r>
              <w:rPr>
                <w:rFonts w:ascii="FangSong_GB2312" w:eastAsia="FangSong_GB2312" w:hAnsi="FangSong_GB2312" w:cs="FangSong_GB2312" w:hint="eastAsia"/>
                <w:sz w:val="32"/>
                <w:szCs w:val="32"/>
              </w:rPr>
              <w:t>建设环岛、跨琼州海峡2个低空公共航路建设项目，配套建设低空通信、导航、监视、气象及相关设施设备。</w:t>
            </w:r>
          </w:p>
        </w:tc>
      </w:tr>
    </w:tbl>
    <w:p w14:paraId="6CC8B450" w14:textId="77777777" w:rsidR="00000000" w:rsidRDefault="00000000">
      <w:pPr>
        <w:spacing w:beforeLines="30" w:before="176" w:afterLines="30" w:after="176" w:line="600" w:lineRule="exact"/>
        <w:jc w:val="center"/>
        <w:outlineLvl w:val="0"/>
        <w:rPr>
          <w:rFonts w:eastAsia="SimHei" w:cs="Times New Roman"/>
          <w:sz w:val="32"/>
          <w:szCs w:val="32"/>
        </w:rPr>
      </w:pPr>
      <w:bookmarkStart w:id="87" w:name="_Toc1501445679"/>
      <w:bookmarkStart w:id="88" w:name="_Toc1960085215"/>
      <w:bookmarkStart w:id="89" w:name="_Toc1181837294"/>
      <w:bookmarkStart w:id="90" w:name="_Toc961181129"/>
      <w:bookmarkStart w:id="91" w:name="_Toc30807"/>
      <w:bookmarkStart w:id="92" w:name="_Toc7682"/>
      <w:bookmarkStart w:id="93" w:name="_Toc1495439797"/>
      <w:bookmarkStart w:id="94" w:name="_Toc1022020387"/>
      <w:r>
        <w:rPr>
          <w:rFonts w:eastAsia="SimHei" w:cs="Times New Roman"/>
          <w:sz w:val="32"/>
          <w:szCs w:val="32"/>
        </w:rPr>
        <w:t>第三章</w:t>
      </w:r>
      <w:r>
        <w:rPr>
          <w:rFonts w:eastAsia="SimHei" w:cs="Times New Roman"/>
          <w:sz w:val="32"/>
          <w:szCs w:val="32"/>
        </w:rPr>
        <w:t xml:space="preserve"> </w:t>
      </w:r>
      <w:r>
        <w:rPr>
          <w:rFonts w:eastAsia="SimHei" w:cs="Times New Roman"/>
          <w:sz w:val="32"/>
          <w:szCs w:val="32"/>
        </w:rPr>
        <w:t>提升自由便利运输服务能级</w:t>
      </w:r>
      <w:bookmarkEnd w:id="87"/>
      <w:bookmarkEnd w:id="88"/>
      <w:bookmarkEnd w:id="89"/>
      <w:bookmarkEnd w:id="90"/>
      <w:bookmarkEnd w:id="91"/>
      <w:bookmarkEnd w:id="92"/>
      <w:bookmarkEnd w:id="93"/>
      <w:bookmarkEnd w:id="94"/>
    </w:p>
    <w:p w14:paraId="6ABA4C95" w14:textId="77777777" w:rsidR="00000000" w:rsidRDefault="00000000">
      <w:pPr>
        <w:spacing w:line="600" w:lineRule="exact"/>
        <w:ind w:firstLineChars="200" w:firstLine="650"/>
        <w:rPr>
          <w:rFonts w:eastAsia="FangSong_GB2312" w:cs="Times New Roman"/>
          <w:sz w:val="32"/>
          <w:szCs w:val="32"/>
        </w:rPr>
      </w:pPr>
      <w:r>
        <w:rPr>
          <w:rFonts w:eastAsia="FangSong_GB2312" w:cs="Times New Roman"/>
          <w:sz w:val="32"/>
          <w:szCs w:val="32"/>
        </w:rPr>
        <w:lastRenderedPageBreak/>
        <w:t>围绕全岛同城化、现代化物流网络及口岸通关效能，优化交通服务供给，构建协同畅通、特色鲜明的综合运输服务体系。</w:t>
      </w:r>
    </w:p>
    <w:p w14:paraId="0818E326"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95" w:name="_Toc1636841141"/>
      <w:bookmarkStart w:id="96" w:name="_Toc1624784254"/>
      <w:bookmarkStart w:id="97" w:name="_Toc508179091"/>
      <w:bookmarkStart w:id="98" w:name="_Toc131574550"/>
      <w:bookmarkStart w:id="99" w:name="_Toc30071"/>
      <w:bookmarkStart w:id="100" w:name="_Toc826633545"/>
      <w:bookmarkStart w:id="101" w:name="_Toc2020097294"/>
      <w:bookmarkStart w:id="102" w:name="_Toc15429"/>
      <w:r>
        <w:rPr>
          <w:rFonts w:eastAsia="KaiTi_GB2312" w:cs="KaiTi_GB2312" w:hint="eastAsia"/>
          <w:sz w:val="32"/>
          <w:szCs w:val="32"/>
        </w:rPr>
        <w:t>第一节</w:t>
      </w:r>
      <w:r>
        <w:rPr>
          <w:rFonts w:eastAsia="KaiTi_GB2312" w:cs="KaiTi_GB2312" w:hint="eastAsia"/>
          <w:sz w:val="32"/>
          <w:szCs w:val="32"/>
        </w:rPr>
        <w:t xml:space="preserve"> </w:t>
      </w:r>
      <w:r>
        <w:rPr>
          <w:rFonts w:eastAsia="KaiTi_GB2312" w:cs="KaiTi_GB2312" w:hint="eastAsia"/>
          <w:sz w:val="32"/>
          <w:szCs w:val="32"/>
        </w:rPr>
        <w:t>健全全岛同城化运输体系</w:t>
      </w:r>
      <w:bookmarkEnd w:id="95"/>
      <w:bookmarkEnd w:id="96"/>
      <w:bookmarkEnd w:id="97"/>
      <w:bookmarkEnd w:id="98"/>
      <w:bookmarkEnd w:id="99"/>
      <w:bookmarkEnd w:id="100"/>
      <w:bookmarkEnd w:id="101"/>
      <w:bookmarkEnd w:id="102"/>
    </w:p>
    <w:p w14:paraId="3DCED550"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优化城际公交化网络，提升城乡出行均等化服务水平，推动客运联程联运一体化发展，打造便捷高效的岛内出行服务体系。</w:t>
      </w:r>
    </w:p>
    <w:p w14:paraId="42DA33DB" w14:textId="77777777" w:rsidR="00000000" w:rsidRDefault="00000000">
      <w:pPr>
        <w:spacing w:line="600" w:lineRule="exact"/>
        <w:ind w:firstLineChars="200" w:firstLine="626"/>
        <w:rPr>
          <w:rFonts w:ascii="FangSong_GB2312" w:eastAsia="FangSong_GB2312" w:hAnsi="FangSong_GB2312" w:cs="FangSong_GB2312" w:hint="eastAsia"/>
          <w:sz w:val="32"/>
          <w:szCs w:val="32"/>
        </w:rPr>
      </w:pPr>
      <w:r>
        <w:rPr>
          <w:rFonts w:ascii="FangSong_GB2312" w:eastAsia="FangSong_GB2312" w:hAnsi="FangSong_GB2312" w:cs="FangSong_GB2312" w:hint="eastAsia"/>
          <w:b/>
          <w:bCs/>
          <w:spacing w:val="-6"/>
          <w:sz w:val="32"/>
          <w:szCs w:val="32"/>
        </w:rPr>
        <w:t>打造一体化城际网络。</w:t>
      </w:r>
      <w:r>
        <w:rPr>
          <w:rFonts w:ascii="FangSong_GB2312" w:eastAsia="FangSong_GB2312" w:hAnsi="FangSong_GB2312" w:cs="FangSong_GB2312" w:hint="eastAsia"/>
          <w:spacing w:val="-6"/>
          <w:sz w:val="32"/>
          <w:szCs w:val="32"/>
        </w:rPr>
        <w:t>在既有老城镇—海口—美兰、三亚</w:t>
      </w:r>
      <w:r>
        <w:rPr>
          <w:rFonts w:ascii="FangSong_GB2312" w:eastAsia="FangSong_GB2312" w:hAnsi="FangSong_GB2312" w:cs="FangSong_GB2312" w:hint="eastAsia"/>
          <w:sz w:val="32"/>
          <w:szCs w:val="32"/>
        </w:rPr>
        <w:t>—乐东公交化线路基础上，推动环岛铁路公交化，实现全省城镇组团间旅客便捷公交化出行。加密城际快速公交网络，开通与高铁站点无缝衔接的城际直达线路，灵活开设通勤专线、旅游专线等定制化公交服务。</w:t>
      </w:r>
    </w:p>
    <w:p w14:paraId="48043193"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提升城乡出行服务水平。</w:t>
      </w:r>
      <w:r>
        <w:rPr>
          <w:rFonts w:ascii="FangSong_GB2312" w:eastAsia="FangSong_GB2312" w:hAnsi="FangSong_GB2312" w:cs="FangSong_GB2312" w:hint="eastAsia"/>
          <w:sz w:val="32"/>
          <w:szCs w:val="32"/>
        </w:rPr>
        <w:t>加密城乡公共交通网络覆盖与线路班次，打造“三极”经济圈1小时通勤圈。推进出行服务整合，推动定制公交、共享汽车、网约车等多样化出行服务向乡村下沉。加强政策保障与监管，规范城乡客运价格，确保出行安全与服务质量，形成健康可持续的城乡出行服务体系。</w:t>
      </w:r>
    </w:p>
    <w:p w14:paraId="63EEA626"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推动旅客联程运输发展。</w:t>
      </w:r>
      <w:r>
        <w:rPr>
          <w:rFonts w:ascii="FangSong_GB2312" w:eastAsia="FangSong_GB2312" w:hAnsi="FangSong_GB2312" w:cs="FangSong_GB2312" w:hint="eastAsia"/>
          <w:sz w:val="32"/>
          <w:szCs w:val="32"/>
        </w:rPr>
        <w:t>以海口经济圈商务通勤出行、三亚经济圈旅游出行为重点，积极推动各类公共客运方式实现设施互联、安检互认、信息共享，打造独具海南自贸港特色的联程运输服务体验。鼓励港口、机场、铁路、城市公交等探索实现“一次购票、一次支付、一卡通行”。</w:t>
      </w:r>
    </w:p>
    <w:p w14:paraId="5568E029"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103" w:name="_Toc974980613"/>
      <w:bookmarkStart w:id="104" w:name="_Toc453671488"/>
      <w:bookmarkStart w:id="105" w:name="_Toc7555"/>
      <w:bookmarkStart w:id="106" w:name="_Toc1873644145"/>
      <w:bookmarkStart w:id="107" w:name="_Toc8173"/>
      <w:bookmarkStart w:id="108" w:name="_Toc2036829280"/>
      <w:bookmarkStart w:id="109" w:name="_Toc701675933"/>
      <w:bookmarkStart w:id="110" w:name="_Toc2051175199"/>
      <w:r>
        <w:rPr>
          <w:rFonts w:eastAsia="KaiTi_GB2312" w:cs="KaiTi_GB2312" w:hint="eastAsia"/>
          <w:sz w:val="32"/>
          <w:szCs w:val="32"/>
        </w:rPr>
        <w:lastRenderedPageBreak/>
        <w:t>第二节</w:t>
      </w:r>
      <w:r>
        <w:rPr>
          <w:rFonts w:eastAsia="KaiTi_GB2312" w:cs="KaiTi_GB2312" w:hint="eastAsia"/>
          <w:sz w:val="32"/>
          <w:szCs w:val="32"/>
        </w:rPr>
        <w:t xml:space="preserve"> </w:t>
      </w:r>
      <w:r>
        <w:rPr>
          <w:rFonts w:eastAsia="KaiTi_GB2312" w:cs="KaiTi_GB2312" w:hint="eastAsia"/>
          <w:sz w:val="32"/>
          <w:szCs w:val="32"/>
        </w:rPr>
        <w:t>建设现代化物流设施网络</w:t>
      </w:r>
      <w:bookmarkEnd w:id="103"/>
      <w:bookmarkEnd w:id="104"/>
      <w:bookmarkEnd w:id="105"/>
      <w:bookmarkEnd w:id="106"/>
      <w:bookmarkEnd w:id="107"/>
      <w:bookmarkEnd w:id="108"/>
      <w:bookmarkEnd w:id="109"/>
      <w:bookmarkEnd w:id="110"/>
    </w:p>
    <w:p w14:paraId="336C755D" w14:textId="77777777" w:rsidR="00000000" w:rsidRDefault="00000000">
      <w:pPr>
        <w:spacing w:line="596"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提升物流服务效能，创新联运模式与新兴业态，打造畅通集约、智慧联动的自贸港现代物流体系。</w:t>
      </w:r>
    </w:p>
    <w:p w14:paraId="62DF3CE9" w14:textId="77777777" w:rsidR="00000000" w:rsidRDefault="00000000">
      <w:pPr>
        <w:spacing w:line="596"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推动物流服务提质升级。</w:t>
      </w:r>
      <w:r>
        <w:rPr>
          <w:rFonts w:ascii="FangSong_GB2312" w:eastAsia="FangSong_GB2312" w:hAnsi="FangSong_GB2312" w:cs="FangSong_GB2312" w:hint="eastAsia"/>
          <w:sz w:val="32"/>
          <w:szCs w:val="32"/>
        </w:rPr>
        <w:t>支持海口商贸服务型、三亚空港型、洋浦港口型国家物流枢纽城市建设。加快推进海口全球性国际邮政快递枢纽承载城市建设，拓展全省跨境电商、国际分拨等业务，提升保税仓储、转口贸易物流服务效能。强化免税商品、民生消费品等重点品类的末端配送服务，实现岛内物流“最后一公里”高效畅通。积极发展现代港航物流。</w:t>
      </w:r>
    </w:p>
    <w:p w14:paraId="2930A577" w14:textId="77777777" w:rsidR="00000000" w:rsidRDefault="00000000">
      <w:pPr>
        <w:spacing w:line="62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打造多式联运创新示范。</w:t>
      </w:r>
      <w:r>
        <w:rPr>
          <w:rFonts w:ascii="FangSong_GB2312" w:eastAsia="FangSong_GB2312" w:hAnsi="FangSong_GB2312" w:cs="FangSong_GB2312" w:hint="eastAsia"/>
          <w:sz w:val="32"/>
          <w:szCs w:val="32"/>
        </w:rPr>
        <w:t>推进运输结构优化调整，推动大宗货物运输“公转铁”“公转水”及多式联运，重点以港口为枢纽，联通铁路公路运输网络，串联沿线物流节点，整合周边仓储、转运设施，形成一批多式联运示范工程。推进国际多式联运“一单制”“一票制”应用创新，推动国际多式联运电子提单发展。</w:t>
      </w:r>
    </w:p>
    <w:p w14:paraId="4A489282" w14:textId="77777777" w:rsidR="00000000" w:rsidRDefault="00000000">
      <w:pPr>
        <w:spacing w:line="62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开发物流发展新业态。</w:t>
      </w:r>
      <w:r>
        <w:rPr>
          <w:rFonts w:ascii="FangSong_GB2312" w:eastAsia="FangSong_GB2312" w:hAnsi="FangSong_GB2312" w:cs="FangSong_GB2312" w:hint="eastAsia"/>
          <w:sz w:val="32"/>
          <w:szCs w:val="32"/>
        </w:rPr>
        <w:t>谋划发展“高铁快运+空铁联运”，形成覆盖全岛的“当日达”高价值商品运输通道。研究冷链专列的标准化运营，探索开通海南至大湾区冷链直达班列。开辟低空物流专线，鼓励物流企业构建“航空货运—支线物流—末端配送”三级低空物流体系。</w:t>
      </w:r>
    </w:p>
    <w:p w14:paraId="5D295B9E" w14:textId="77777777" w:rsidR="00000000" w:rsidRDefault="00000000">
      <w:pPr>
        <w:keepNext/>
        <w:keepLines/>
        <w:spacing w:beforeLines="30" w:before="176" w:afterLines="30" w:after="176" w:line="620" w:lineRule="exact"/>
        <w:jc w:val="center"/>
        <w:outlineLvl w:val="1"/>
        <w:rPr>
          <w:rFonts w:eastAsia="KaiTi_GB2312" w:cs="KaiTi_GB2312" w:hint="eastAsia"/>
          <w:sz w:val="32"/>
          <w:szCs w:val="32"/>
        </w:rPr>
      </w:pPr>
      <w:bookmarkStart w:id="111" w:name="_Toc273634580"/>
      <w:bookmarkStart w:id="112" w:name="_Toc1890619252"/>
      <w:bookmarkStart w:id="113" w:name="_Toc34594108"/>
      <w:bookmarkStart w:id="114" w:name="_Toc1114768167"/>
      <w:bookmarkStart w:id="115" w:name="_Toc5929"/>
      <w:bookmarkStart w:id="116" w:name="_Toc1265571800"/>
      <w:bookmarkStart w:id="117" w:name="_Toc12863"/>
      <w:bookmarkStart w:id="118" w:name="_Toc300699305"/>
      <w:r>
        <w:rPr>
          <w:rFonts w:eastAsia="KaiTi_GB2312" w:cs="KaiTi_GB2312" w:hint="eastAsia"/>
          <w:sz w:val="32"/>
          <w:szCs w:val="32"/>
        </w:rPr>
        <w:lastRenderedPageBreak/>
        <w:t>第三节</w:t>
      </w:r>
      <w:r>
        <w:rPr>
          <w:rFonts w:eastAsia="KaiTi_GB2312" w:cs="KaiTi_GB2312" w:hint="eastAsia"/>
          <w:sz w:val="32"/>
          <w:szCs w:val="32"/>
        </w:rPr>
        <w:t xml:space="preserve"> </w:t>
      </w:r>
      <w:r>
        <w:rPr>
          <w:rFonts w:eastAsia="KaiTi_GB2312" w:cs="KaiTi_GB2312" w:hint="eastAsia"/>
          <w:sz w:val="32"/>
          <w:szCs w:val="32"/>
        </w:rPr>
        <w:t>提升口岸交通基础设施支撑能力</w:t>
      </w:r>
      <w:bookmarkEnd w:id="111"/>
      <w:bookmarkEnd w:id="112"/>
      <w:bookmarkEnd w:id="113"/>
      <w:bookmarkEnd w:id="114"/>
      <w:bookmarkEnd w:id="115"/>
      <w:bookmarkEnd w:id="116"/>
      <w:bookmarkEnd w:id="117"/>
      <w:bookmarkEnd w:id="118"/>
    </w:p>
    <w:p w14:paraId="16ACA6CD" w14:textId="77777777" w:rsidR="00000000" w:rsidRDefault="00000000">
      <w:pPr>
        <w:spacing w:line="620" w:lineRule="exact"/>
        <w:ind w:firstLineChars="200" w:firstLine="650"/>
        <w:rPr>
          <w:rFonts w:eastAsia="FangSong_GB2312" w:cs="Times New Roman"/>
          <w:bCs/>
          <w:sz w:val="32"/>
          <w:szCs w:val="32"/>
        </w:rPr>
      </w:pPr>
      <w:r>
        <w:rPr>
          <w:rFonts w:eastAsia="FangSong_GB2312" w:cs="Times New Roman"/>
          <w:bCs/>
          <w:sz w:val="32"/>
          <w:szCs w:val="32"/>
        </w:rPr>
        <w:t>完善口岸集疏运配套，构建智能高效通关体系，全面提升口岸交通保障能力与通行便利化水平。</w:t>
      </w:r>
    </w:p>
    <w:p w14:paraId="7887B73F" w14:textId="77777777" w:rsidR="00000000" w:rsidRDefault="00000000">
      <w:pPr>
        <w:spacing w:line="620" w:lineRule="exact"/>
        <w:ind w:firstLineChars="200" w:firstLine="650"/>
        <w:rPr>
          <w:rFonts w:eastAsia="FangSong_GB2312" w:cs="Times New Roman"/>
          <w:bCs/>
          <w:sz w:val="32"/>
          <w:szCs w:val="32"/>
        </w:rPr>
      </w:pPr>
      <w:r>
        <w:rPr>
          <w:rFonts w:eastAsia="FangSong_GB2312" w:cs="Times New Roman"/>
          <w:b/>
          <w:sz w:val="32"/>
          <w:szCs w:val="32"/>
        </w:rPr>
        <w:t>强化口岸集疏运设施支撑。</w:t>
      </w:r>
      <w:r>
        <w:rPr>
          <w:rFonts w:eastAsia="FangSong_GB2312" w:cs="Times New Roman"/>
          <w:bCs/>
          <w:sz w:val="32"/>
          <w:szCs w:val="32"/>
        </w:rPr>
        <w:t>完善口岸集疏运网络，重点推进衔接口岸的公路、铁路等专用通道建设，同步健全公共交通接驳体系，提升旅客换乘的便捷性。提升各口岸间交通运输能力，优化未设立口岸市县和设立口岸市县之间的运输组织。</w:t>
      </w:r>
    </w:p>
    <w:p w14:paraId="098DF59C" w14:textId="77777777" w:rsidR="00000000" w:rsidRDefault="00000000">
      <w:pPr>
        <w:spacing w:line="620" w:lineRule="exact"/>
        <w:ind w:firstLineChars="200" w:firstLine="650"/>
        <w:rPr>
          <w:rFonts w:eastAsia="FangSong_GB2312" w:cs="Times New Roman"/>
          <w:bCs/>
          <w:sz w:val="32"/>
          <w:szCs w:val="32"/>
        </w:rPr>
      </w:pPr>
      <w:r>
        <w:rPr>
          <w:rFonts w:eastAsia="FangSong_GB2312" w:cs="Times New Roman"/>
          <w:b/>
          <w:sz w:val="32"/>
          <w:szCs w:val="32"/>
        </w:rPr>
        <w:t>构建高效协同的通关衔接体系。</w:t>
      </w:r>
      <w:r>
        <w:rPr>
          <w:rFonts w:eastAsia="FangSong_GB2312" w:cs="Times New Roman"/>
          <w:bCs/>
          <w:sz w:val="32"/>
          <w:szCs w:val="32"/>
        </w:rPr>
        <w:t>配套建设智能化闸口、自动化导引通道，广泛应用智能识别技术，有力支撑货物</w:t>
      </w:r>
      <w:r>
        <w:rPr>
          <w:rFonts w:eastAsia="FangSong_GB2312" w:cs="Times New Roman" w:hint="eastAsia"/>
          <w:bCs/>
          <w:sz w:val="32"/>
          <w:szCs w:val="32"/>
        </w:rPr>
        <w:t>“</w:t>
      </w:r>
      <w:r>
        <w:rPr>
          <w:rFonts w:eastAsia="FangSong_GB2312" w:cs="Times New Roman"/>
          <w:bCs/>
          <w:sz w:val="32"/>
          <w:szCs w:val="32"/>
        </w:rPr>
        <w:t>一次报关、一次查验、一次通行</w:t>
      </w:r>
      <w:r>
        <w:rPr>
          <w:rFonts w:eastAsia="FangSong_GB2312" w:cs="Times New Roman" w:hint="eastAsia"/>
          <w:bCs/>
          <w:sz w:val="32"/>
          <w:szCs w:val="32"/>
        </w:rPr>
        <w:t>”</w:t>
      </w:r>
      <w:r>
        <w:rPr>
          <w:rFonts w:eastAsia="FangSong_GB2312" w:cs="Times New Roman"/>
          <w:bCs/>
          <w:sz w:val="32"/>
          <w:szCs w:val="32"/>
        </w:rPr>
        <w:t>及人员</w:t>
      </w:r>
      <w:r>
        <w:rPr>
          <w:rFonts w:eastAsia="FangSong_GB2312" w:cs="Times New Roman" w:hint="eastAsia"/>
          <w:bCs/>
          <w:sz w:val="32"/>
          <w:szCs w:val="32"/>
        </w:rPr>
        <w:t>“</w:t>
      </w:r>
      <w:r>
        <w:rPr>
          <w:rFonts w:eastAsia="FangSong_GB2312" w:cs="Times New Roman"/>
          <w:bCs/>
          <w:sz w:val="32"/>
          <w:szCs w:val="32"/>
        </w:rPr>
        <w:t>一次过检、无感通关</w:t>
      </w:r>
      <w:r>
        <w:rPr>
          <w:rFonts w:eastAsia="FangSong_GB2312" w:cs="Times New Roman" w:hint="eastAsia"/>
          <w:bCs/>
          <w:sz w:val="32"/>
          <w:szCs w:val="32"/>
        </w:rPr>
        <w:t>”</w:t>
      </w:r>
      <w:r>
        <w:rPr>
          <w:rFonts w:eastAsia="FangSong_GB2312" w:cs="Times New Roman"/>
          <w:bCs/>
          <w:sz w:val="32"/>
          <w:szCs w:val="32"/>
        </w:rPr>
        <w:t>。</w:t>
      </w:r>
      <w:r>
        <w:rPr>
          <w:rFonts w:eastAsia="FangSong_GB2312" w:cs="Times New Roman"/>
          <w:bCs/>
          <w:sz w:val="32"/>
          <w:szCs w:val="32"/>
        </w:rPr>
        <w:t xml:space="preserve"> </w:t>
      </w:r>
    </w:p>
    <w:p w14:paraId="26140FC1" w14:textId="77777777" w:rsidR="00000000" w:rsidRDefault="00000000">
      <w:pPr>
        <w:spacing w:beforeLines="30" w:before="176" w:afterLines="30" w:after="176" w:line="600" w:lineRule="exact"/>
        <w:jc w:val="center"/>
        <w:outlineLvl w:val="0"/>
        <w:rPr>
          <w:rFonts w:eastAsia="SimHei" w:cs="Times New Roman"/>
          <w:sz w:val="32"/>
          <w:szCs w:val="32"/>
        </w:rPr>
      </w:pPr>
      <w:bookmarkStart w:id="119" w:name="_Toc1435557495"/>
      <w:bookmarkStart w:id="120" w:name="_Toc856751415"/>
      <w:bookmarkStart w:id="121" w:name="_Toc8348"/>
      <w:bookmarkStart w:id="122" w:name="_Toc1816413741"/>
      <w:bookmarkStart w:id="123" w:name="_Toc382358761"/>
      <w:bookmarkStart w:id="124" w:name="_Toc7624"/>
      <w:bookmarkStart w:id="125" w:name="_Toc1555970999"/>
      <w:bookmarkStart w:id="126" w:name="_Toc1298338071"/>
      <w:r>
        <w:rPr>
          <w:rFonts w:eastAsia="SimHei" w:cs="Times New Roman"/>
          <w:sz w:val="32"/>
          <w:szCs w:val="32"/>
        </w:rPr>
        <w:t>第四章</w:t>
      </w:r>
      <w:r>
        <w:rPr>
          <w:rFonts w:eastAsia="SimHei" w:cs="Times New Roman"/>
          <w:sz w:val="32"/>
          <w:szCs w:val="32"/>
        </w:rPr>
        <w:t xml:space="preserve"> </w:t>
      </w:r>
      <w:r>
        <w:rPr>
          <w:rFonts w:eastAsia="SimHei" w:cs="Times New Roman"/>
          <w:sz w:val="32"/>
          <w:szCs w:val="32"/>
        </w:rPr>
        <w:t>增强交通运输综合效益</w:t>
      </w:r>
      <w:bookmarkEnd w:id="119"/>
      <w:bookmarkEnd w:id="120"/>
      <w:bookmarkEnd w:id="121"/>
      <w:bookmarkEnd w:id="122"/>
      <w:bookmarkEnd w:id="123"/>
      <w:bookmarkEnd w:id="124"/>
      <w:bookmarkEnd w:id="125"/>
      <w:bookmarkEnd w:id="126"/>
    </w:p>
    <w:p w14:paraId="6AAD2DC9"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127" w:name="_Toc980896787"/>
      <w:bookmarkStart w:id="128" w:name="_Toc1635643440"/>
      <w:bookmarkStart w:id="129" w:name="_Toc1927729840"/>
      <w:bookmarkStart w:id="130" w:name="_Toc5688"/>
      <w:bookmarkStart w:id="131" w:name="_Toc3107"/>
      <w:bookmarkStart w:id="132" w:name="_Toc953650816"/>
      <w:bookmarkStart w:id="133" w:name="_Toc1921961451"/>
      <w:bookmarkStart w:id="134" w:name="_Toc136353669"/>
      <w:r>
        <w:rPr>
          <w:rFonts w:eastAsia="KaiTi_GB2312" w:cs="KaiTi_GB2312" w:hint="eastAsia"/>
          <w:sz w:val="32"/>
          <w:szCs w:val="32"/>
        </w:rPr>
        <w:t>第一节</w:t>
      </w:r>
      <w:r>
        <w:rPr>
          <w:rFonts w:eastAsia="KaiTi_GB2312" w:cs="KaiTi_GB2312" w:hint="eastAsia"/>
          <w:sz w:val="32"/>
          <w:szCs w:val="32"/>
        </w:rPr>
        <w:t xml:space="preserve"> </w:t>
      </w:r>
      <w:r>
        <w:rPr>
          <w:rFonts w:eastAsia="KaiTi_GB2312" w:cs="KaiTi_GB2312" w:hint="eastAsia"/>
          <w:sz w:val="32"/>
          <w:szCs w:val="32"/>
        </w:rPr>
        <w:t>推动交通运输数智化升级</w:t>
      </w:r>
      <w:bookmarkEnd w:id="127"/>
      <w:bookmarkEnd w:id="128"/>
      <w:bookmarkEnd w:id="129"/>
      <w:bookmarkEnd w:id="130"/>
      <w:bookmarkEnd w:id="131"/>
      <w:bookmarkEnd w:id="132"/>
      <w:bookmarkEnd w:id="133"/>
      <w:bookmarkEnd w:id="134"/>
    </w:p>
    <w:p w14:paraId="10C26D96"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以数字化赋能交通全域升级，深化数智技术应用，构建低空智能网联体系，打造开放协同的自贸港智慧交通新生态。</w:t>
      </w:r>
    </w:p>
    <w:p w14:paraId="0DF2C6BF"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推动交通基础设施数字化转型。</w:t>
      </w:r>
      <w:r>
        <w:rPr>
          <w:rFonts w:ascii="FangSong_GB2312" w:eastAsia="FangSong_GB2312" w:hAnsi="FangSong_GB2312" w:cs="FangSong_GB2312" w:hint="eastAsia"/>
          <w:sz w:val="32"/>
          <w:szCs w:val="32"/>
        </w:rPr>
        <w:t>以“一岛两岸三融合”数字化转型示范区域为牵引，以人工智能融合为关键动能，推动全省现代化综合立体交通网建设。重点构建统一数字底座，形成交通设施感知网、要素云联网、智能运行管控网与数字运输服务网，筑牢网络安全防线，打造海南特色智慧交通生态。</w:t>
      </w:r>
    </w:p>
    <w:p w14:paraId="35BF4A28" w14:textId="77777777" w:rsidR="00000000" w:rsidRDefault="00000000">
      <w:pPr>
        <w:spacing w:line="62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深化数智技术与交通运输全链条融合。</w:t>
      </w:r>
      <w:r>
        <w:rPr>
          <w:rFonts w:ascii="FangSong_GB2312" w:eastAsia="FangSong_GB2312" w:hAnsi="FangSong_GB2312" w:cs="FangSong_GB2312" w:hint="eastAsia"/>
          <w:sz w:val="32"/>
          <w:szCs w:val="32"/>
        </w:rPr>
        <w:t>提升铁路运营数字化水平，推动大数据在铁路调度、故障预警、客流预测、动态</w:t>
      </w:r>
      <w:r>
        <w:rPr>
          <w:rFonts w:ascii="FangSong_GB2312" w:eastAsia="FangSong_GB2312" w:hAnsi="FangSong_GB2312" w:cs="FangSong_GB2312" w:hint="eastAsia"/>
          <w:sz w:val="32"/>
          <w:szCs w:val="32"/>
        </w:rPr>
        <w:lastRenderedPageBreak/>
        <w:t>运力调配等场景的应用。建设智慧化机场，推动航站楼服务智能化，应用智能协同技术增强飞行区感知设备智能互联。全域推进“停车一张网、充电一张网”，加速实现智慧停车、便捷充电全覆盖。</w:t>
      </w:r>
    </w:p>
    <w:p w14:paraId="068C9FED" w14:textId="77777777" w:rsidR="00000000" w:rsidRDefault="00000000">
      <w:pPr>
        <w:spacing w:line="62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建设低空智能网联系统。</w:t>
      </w:r>
      <w:r>
        <w:rPr>
          <w:rFonts w:ascii="FangSong_GB2312" w:eastAsia="FangSong_GB2312" w:hAnsi="FangSong_GB2312" w:cs="FangSong_GB2312" w:hint="eastAsia"/>
          <w:sz w:val="32"/>
          <w:szCs w:val="32"/>
        </w:rPr>
        <w:t>统筹推进省级低空智能网联系统建设工作，实现信息汇聚、飞行服务、运行管理、设施管理、安全监管等功能，满足行业应用和管理服务需求。按需推进各地级市低空智能网联系统建设。</w:t>
      </w:r>
    </w:p>
    <w:tbl>
      <w:tblP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4"/>
      </w:tblGrid>
      <w:tr w:rsidR="00000000" w14:paraId="38B4010F" w14:textId="77777777">
        <w:trPr>
          <w:trHeight w:val="684"/>
        </w:trPr>
        <w:tc>
          <w:tcPr>
            <w:tcW w:w="5000" w:type="pct"/>
            <w:tcBorders>
              <w:top w:val="single" w:sz="4" w:space="0" w:color="auto"/>
              <w:left w:val="single" w:sz="4" w:space="0" w:color="auto"/>
              <w:bottom w:val="single" w:sz="4" w:space="0" w:color="auto"/>
              <w:right w:val="single" w:sz="4" w:space="0" w:color="auto"/>
            </w:tcBorders>
            <w:vAlign w:val="center"/>
          </w:tcPr>
          <w:p w14:paraId="5BDFEDD6" w14:textId="77777777" w:rsidR="00000000" w:rsidRDefault="00000000">
            <w:pPr>
              <w:adjustRightInd w:val="0"/>
              <w:spacing w:line="600" w:lineRule="exact"/>
              <w:jc w:val="center"/>
              <w:rPr>
                <w:rFonts w:ascii="SimHei" w:eastAsia="SimHei" w:hAnsi="SimHei" w:cs="SimHei" w:hint="eastAsia"/>
                <w:sz w:val="32"/>
                <w:szCs w:val="32"/>
              </w:rPr>
            </w:pPr>
            <w:r>
              <w:rPr>
                <w:rFonts w:ascii="SimHei" w:eastAsia="SimHei" w:hAnsi="SimHei" w:cs="SimHei" w:hint="eastAsia"/>
                <w:sz w:val="32"/>
                <w:szCs w:val="32"/>
              </w:rPr>
              <w:t>专栏14  智慧交通重大工程（9个）</w:t>
            </w:r>
          </w:p>
        </w:tc>
      </w:tr>
      <w:tr w:rsidR="00000000" w14:paraId="57CBB600" w14:textId="77777777">
        <w:trPr>
          <w:trHeight w:val="720"/>
        </w:trPr>
        <w:tc>
          <w:tcPr>
            <w:tcW w:w="5000" w:type="pct"/>
            <w:tcBorders>
              <w:top w:val="single" w:sz="4" w:space="0" w:color="auto"/>
              <w:left w:val="single" w:sz="4" w:space="0" w:color="auto"/>
              <w:bottom w:val="single" w:sz="4" w:space="0" w:color="auto"/>
              <w:right w:val="single" w:sz="4" w:space="0" w:color="auto"/>
            </w:tcBorders>
          </w:tcPr>
          <w:p w14:paraId="6C997FE0" w14:textId="77777777" w:rsidR="00000000" w:rsidRDefault="00000000">
            <w:pPr>
              <w:spacing w:line="62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海南省公路“一张网”出行服务建设工程、公路智慧服务区建设工程、公路路网运行监测预警系统建设工程、公路数字治超及大件运输全链条监管系统建设工程、海南省公路水路基础设施数字底座建设工程、琼州海峡智能调度指挥与数字化能力提升工程（一期）、海南省级智能网联汽车“车路云一体化”应用试点项目、G15沈海高速海南段公路数智通道建设工程、海南省低空智能网联系统项目。</w:t>
            </w:r>
          </w:p>
        </w:tc>
      </w:tr>
    </w:tbl>
    <w:p w14:paraId="3D120121"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135" w:name="_Toc8506"/>
      <w:bookmarkStart w:id="136" w:name="_Toc899741804"/>
      <w:bookmarkStart w:id="137" w:name="_Toc186380055"/>
      <w:bookmarkStart w:id="138" w:name="_Toc1908814676"/>
      <w:bookmarkStart w:id="139" w:name="_Toc25497"/>
      <w:bookmarkStart w:id="140" w:name="_Toc1377548051"/>
      <w:bookmarkStart w:id="141" w:name="_Toc66544524"/>
      <w:bookmarkStart w:id="142" w:name="_Toc1332133527"/>
      <w:r>
        <w:rPr>
          <w:rFonts w:eastAsia="KaiTi_GB2312" w:cs="KaiTi_GB2312" w:hint="eastAsia"/>
          <w:sz w:val="32"/>
          <w:szCs w:val="32"/>
        </w:rPr>
        <w:t>第二节</w:t>
      </w:r>
      <w:r>
        <w:rPr>
          <w:rFonts w:eastAsia="KaiTi_GB2312" w:cs="KaiTi_GB2312" w:hint="eastAsia"/>
          <w:sz w:val="32"/>
          <w:szCs w:val="32"/>
        </w:rPr>
        <w:t xml:space="preserve"> </w:t>
      </w:r>
      <w:r>
        <w:rPr>
          <w:rFonts w:eastAsia="KaiTi_GB2312" w:cs="KaiTi_GB2312" w:hint="eastAsia"/>
          <w:sz w:val="32"/>
          <w:szCs w:val="32"/>
        </w:rPr>
        <w:t>推动绿色低碳转型发展</w:t>
      </w:r>
      <w:bookmarkEnd w:id="135"/>
      <w:bookmarkEnd w:id="136"/>
      <w:bookmarkEnd w:id="137"/>
      <w:bookmarkEnd w:id="138"/>
      <w:bookmarkEnd w:id="139"/>
      <w:bookmarkEnd w:id="140"/>
      <w:bookmarkEnd w:id="141"/>
      <w:bookmarkEnd w:id="142"/>
    </w:p>
    <w:p w14:paraId="76C234BD" w14:textId="77777777" w:rsidR="00000000" w:rsidRDefault="00000000">
      <w:pPr>
        <w:spacing w:line="59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围绕航空、铁路、公路、港口全域绿色转型，推广清洁能源与低碳技术应用，打造低碳集约、清洁高效的交通产业体系。</w:t>
      </w:r>
    </w:p>
    <w:p w14:paraId="136E2A21" w14:textId="77777777" w:rsidR="00000000" w:rsidRDefault="00000000">
      <w:pPr>
        <w:spacing w:line="59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推动绿色低碳产业在机场、铁路应用。</w:t>
      </w:r>
      <w:r>
        <w:rPr>
          <w:rFonts w:ascii="FangSong_GB2312" w:eastAsia="FangSong_GB2312" w:hAnsi="FangSong_GB2312" w:cs="FangSong_GB2312" w:hint="eastAsia"/>
          <w:sz w:val="32"/>
          <w:szCs w:val="32"/>
        </w:rPr>
        <w:t>按照绿色机场和绿色航站楼标准建设海口机场三期、三亚新机场、儋州机场、东</w:t>
      </w:r>
      <w:r>
        <w:rPr>
          <w:rFonts w:ascii="FangSong_GB2312" w:eastAsia="FangSong_GB2312" w:hAnsi="FangSong_GB2312" w:cs="FangSong_GB2312" w:hint="eastAsia"/>
          <w:sz w:val="32"/>
          <w:szCs w:val="32"/>
        </w:rPr>
        <w:lastRenderedPageBreak/>
        <w:t>方机场。提升光伏等清洁能源在机场能耗中占比，探索储能技术应用场景。加大节能减排技术、设备和环保新材料的应用，推进机场污染物“零排放”“碳达峰”。探索氢能源机车在新建铁路专支线应用，推动铁路机车装备绿色化及货运体系进一步绿色转型。</w:t>
      </w:r>
    </w:p>
    <w:p w14:paraId="0452E405" w14:textId="77777777" w:rsidR="00000000" w:rsidRDefault="00000000">
      <w:pPr>
        <w:spacing w:line="59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探索“公路+能源”综合利用新模式。</w:t>
      </w:r>
      <w:r>
        <w:rPr>
          <w:rFonts w:ascii="FangSong_GB2312" w:eastAsia="FangSong_GB2312" w:hAnsi="FangSong_GB2312" w:cs="FangSong_GB2312" w:hint="eastAsia"/>
          <w:sz w:val="32"/>
          <w:szCs w:val="32"/>
        </w:rPr>
        <w:t>全面拓展高速公路边坡、服务区屋顶、互通立交、隧道出入口、隔离带等路域空间资源的高效利用，规模化布局分布式光伏发电系统，协同风能、储能设施及智能充电网络建设，构建“风光储充”一体化的多能互补能源节点，形成贯穿全域、绿色低碳、智慧高效的公路能源供应网络。</w:t>
      </w:r>
    </w:p>
    <w:p w14:paraId="7B0257D9" w14:textId="77777777" w:rsidR="00000000" w:rsidRDefault="00000000">
      <w:pPr>
        <w:spacing w:line="596"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推动低碳港口产业升级。</w:t>
      </w:r>
      <w:r>
        <w:rPr>
          <w:rFonts w:ascii="FangSong_GB2312" w:eastAsia="FangSong_GB2312" w:hAnsi="FangSong_GB2312" w:cs="FangSong_GB2312" w:hint="eastAsia"/>
          <w:sz w:val="32"/>
          <w:szCs w:val="32"/>
        </w:rPr>
        <w:t>加快淘汰高能耗、高排放、低效率的老旧船舶和生产设备，积极推广“油改电”“油改气”等低碳技术应用，持续推动港口岸电设施改造和到港船舶使用岸电。引导营运船舶向大型化、专业化、绿色化方向发展，研究推动开通琼州海峡低碳示范客滚航线。</w:t>
      </w:r>
    </w:p>
    <w:p w14:paraId="23F11D57"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143" w:name="_Toc95646081"/>
      <w:bookmarkStart w:id="144" w:name="_Toc1150984030"/>
      <w:bookmarkStart w:id="145" w:name="_Toc1393179153"/>
      <w:bookmarkStart w:id="146" w:name="_Toc14868"/>
      <w:bookmarkStart w:id="147" w:name="_Toc1318348130"/>
      <w:bookmarkStart w:id="148" w:name="_Toc29405"/>
      <w:bookmarkStart w:id="149" w:name="_Toc547591370"/>
      <w:bookmarkStart w:id="150" w:name="_Toc1141283075"/>
      <w:r>
        <w:rPr>
          <w:rFonts w:eastAsia="KaiTi_GB2312" w:cs="KaiTi_GB2312" w:hint="eastAsia"/>
          <w:sz w:val="32"/>
          <w:szCs w:val="32"/>
        </w:rPr>
        <w:t>第三节</w:t>
      </w:r>
      <w:r>
        <w:rPr>
          <w:rFonts w:eastAsia="KaiTi_GB2312" w:cs="KaiTi_GB2312" w:hint="eastAsia"/>
          <w:sz w:val="32"/>
          <w:szCs w:val="32"/>
        </w:rPr>
        <w:t xml:space="preserve"> </w:t>
      </w:r>
      <w:r>
        <w:rPr>
          <w:rFonts w:eastAsia="KaiTi_GB2312" w:cs="KaiTi_GB2312" w:hint="eastAsia"/>
          <w:sz w:val="32"/>
          <w:szCs w:val="32"/>
        </w:rPr>
        <w:t>提高安全应急保障能力</w:t>
      </w:r>
      <w:bookmarkEnd w:id="143"/>
      <w:bookmarkEnd w:id="144"/>
      <w:bookmarkEnd w:id="145"/>
      <w:bookmarkEnd w:id="146"/>
      <w:bookmarkEnd w:id="147"/>
      <w:bookmarkEnd w:id="148"/>
      <w:bookmarkEnd w:id="149"/>
      <w:bookmarkEnd w:id="150"/>
    </w:p>
    <w:p w14:paraId="73FF4FAB" w14:textId="77777777" w:rsidR="00000000" w:rsidRDefault="00000000">
      <w:pPr>
        <w:spacing w:line="600" w:lineRule="exact"/>
        <w:ind w:firstLineChars="200" w:firstLine="650"/>
        <w:rPr>
          <w:rFonts w:eastAsia="FangSong_GB2312" w:cs="Times New Roman"/>
          <w:sz w:val="32"/>
          <w:szCs w:val="32"/>
        </w:rPr>
      </w:pPr>
      <w:r>
        <w:rPr>
          <w:rFonts w:eastAsia="FangSong_GB2312" w:cs="Times New Roman"/>
          <w:sz w:val="32"/>
          <w:szCs w:val="32"/>
        </w:rPr>
        <w:t>强化交通风险防控与隐患治理，完善全域应急处置与跨区域联动机制，强化南海交通应急保障，全面筑牢交通安全应急防线。</w:t>
      </w:r>
    </w:p>
    <w:p w14:paraId="24A054C0" w14:textId="77777777" w:rsidR="00000000" w:rsidRDefault="00000000">
      <w:pPr>
        <w:spacing w:line="600" w:lineRule="exact"/>
        <w:ind w:firstLineChars="200" w:firstLine="650"/>
        <w:rPr>
          <w:rFonts w:eastAsia="FangSong_GB2312" w:cs="Times New Roman"/>
          <w:sz w:val="32"/>
          <w:szCs w:val="32"/>
        </w:rPr>
      </w:pPr>
      <w:r>
        <w:rPr>
          <w:rFonts w:eastAsia="FangSong_GB2312" w:cs="Times New Roman"/>
          <w:b/>
          <w:bCs/>
          <w:sz w:val="32"/>
          <w:szCs w:val="32"/>
        </w:rPr>
        <w:t>强化风险管控与安全应急管理。</w:t>
      </w:r>
      <w:r>
        <w:rPr>
          <w:rFonts w:eastAsia="FangSong_GB2312" w:cs="Times New Roman" w:hint="eastAsia"/>
          <w:sz w:val="32"/>
          <w:szCs w:val="32"/>
        </w:rPr>
        <w:t>加强交通基础设施安全选线选址。</w:t>
      </w:r>
      <w:r>
        <w:rPr>
          <w:rFonts w:eastAsia="FangSong_GB2312" w:cs="Times New Roman"/>
          <w:sz w:val="32"/>
          <w:szCs w:val="32"/>
        </w:rPr>
        <w:t>统筹交通领域风险管控，常态化开展隐患排查整治。</w:t>
      </w:r>
      <w:r>
        <w:rPr>
          <w:rFonts w:eastAsia="FangSong_GB2312" w:cs="Times New Roman"/>
          <w:sz w:val="32"/>
          <w:szCs w:val="32"/>
        </w:rPr>
        <w:lastRenderedPageBreak/>
        <w:t>建立健全综合交通预警和应急信息沟通机制，完善综合交通应急预案体系。加强安全监控与预警智能化，实时识别交通隐患，实现重点区域灾害精准预警与高效处置。加强危险货物运输安全管理，推动建设重要货运港区危化品集装箱堆场和待渡场。</w:t>
      </w:r>
    </w:p>
    <w:p w14:paraId="35E00685" w14:textId="77777777" w:rsidR="00000000" w:rsidRDefault="00000000">
      <w:pPr>
        <w:spacing w:line="590" w:lineRule="exact"/>
        <w:ind w:firstLineChars="200" w:firstLine="650"/>
        <w:rPr>
          <w:rFonts w:eastAsia="FangSong_GB2312" w:cs="Times New Roman"/>
          <w:sz w:val="32"/>
          <w:szCs w:val="32"/>
        </w:rPr>
      </w:pPr>
      <w:r>
        <w:rPr>
          <w:rFonts w:eastAsia="FangSong_GB2312" w:cs="Times New Roman"/>
          <w:b/>
          <w:bCs/>
          <w:sz w:val="32"/>
          <w:szCs w:val="32"/>
        </w:rPr>
        <w:t>建立健全应急联动机制。</w:t>
      </w:r>
      <w:r>
        <w:rPr>
          <w:rFonts w:eastAsia="FangSong_GB2312" w:cs="Times New Roman"/>
          <w:sz w:val="32"/>
          <w:szCs w:val="32"/>
        </w:rPr>
        <w:t>联合粤桂两省</w:t>
      </w:r>
      <w:r>
        <w:rPr>
          <w:rFonts w:eastAsia="FangSong_GB2312" w:cs="Times New Roman" w:hint="eastAsia"/>
          <w:sz w:val="32"/>
          <w:szCs w:val="32"/>
        </w:rPr>
        <w:t>（区）</w:t>
      </w:r>
      <w:r>
        <w:rPr>
          <w:rFonts w:eastAsia="FangSong_GB2312" w:cs="Times New Roman"/>
          <w:sz w:val="32"/>
          <w:szCs w:val="32"/>
        </w:rPr>
        <w:t>和多方责任部门，持续完善琼州海峡极端天气应急疏运工作机制和突发水上公共事件应急反应联动机制。建设跨部门跨层级、共建共享的商渔船安全服务平台，提升海上动态监控信息化水平。加强交通运输领域重要目标防护，统筹组建通用型保障队伍和专业型救援队伍。</w:t>
      </w:r>
    </w:p>
    <w:p w14:paraId="6E66DBB4" w14:textId="77777777" w:rsidR="00000000" w:rsidRDefault="00000000">
      <w:pPr>
        <w:spacing w:line="590" w:lineRule="exact"/>
        <w:ind w:firstLineChars="200" w:firstLine="650"/>
        <w:rPr>
          <w:rFonts w:eastAsia="FangSong_GB2312" w:cs="Times New Roman"/>
          <w:sz w:val="32"/>
          <w:szCs w:val="32"/>
        </w:rPr>
      </w:pPr>
      <w:r>
        <w:rPr>
          <w:rFonts w:eastAsia="FangSong_GB2312" w:cs="Times New Roman"/>
          <w:b/>
          <w:bCs/>
          <w:sz w:val="32"/>
          <w:szCs w:val="32"/>
        </w:rPr>
        <w:t>加强</w:t>
      </w:r>
      <w:r>
        <w:rPr>
          <w:rFonts w:eastAsia="FangSong_GB2312" w:cs="Times New Roman" w:hint="eastAsia"/>
          <w:b/>
          <w:bCs/>
          <w:sz w:val="32"/>
          <w:szCs w:val="32"/>
        </w:rPr>
        <w:t>海上</w:t>
      </w:r>
      <w:r>
        <w:rPr>
          <w:rFonts w:eastAsia="FangSong_GB2312" w:cs="Times New Roman"/>
          <w:b/>
          <w:bCs/>
          <w:sz w:val="32"/>
          <w:szCs w:val="32"/>
        </w:rPr>
        <w:t>应急保障。</w:t>
      </w:r>
      <w:r>
        <w:rPr>
          <w:rFonts w:eastAsia="FangSong_GB2312" w:cs="Times New Roman"/>
          <w:sz w:val="32"/>
          <w:szCs w:val="32"/>
        </w:rPr>
        <w:t>完善应急救援基地布局，构建</w:t>
      </w:r>
      <w:r>
        <w:rPr>
          <w:rFonts w:eastAsia="FangSong_GB2312" w:cs="Times New Roman" w:hint="eastAsia"/>
          <w:sz w:val="32"/>
          <w:szCs w:val="32"/>
        </w:rPr>
        <w:t>“</w:t>
      </w:r>
      <w:r>
        <w:rPr>
          <w:rFonts w:eastAsia="FangSong_GB2312" w:cs="Times New Roman"/>
          <w:sz w:val="32"/>
          <w:szCs w:val="32"/>
        </w:rPr>
        <w:t>空、海、潜</w:t>
      </w:r>
      <w:r>
        <w:rPr>
          <w:rFonts w:eastAsia="FangSong_GB2312" w:cs="Times New Roman" w:hint="eastAsia"/>
          <w:sz w:val="32"/>
          <w:szCs w:val="32"/>
        </w:rPr>
        <w:t>”</w:t>
      </w:r>
      <w:r>
        <w:rPr>
          <w:rFonts w:eastAsia="FangSong_GB2312" w:cs="Times New Roman"/>
          <w:sz w:val="32"/>
          <w:szCs w:val="32"/>
        </w:rPr>
        <w:t>立体全方位应急救援体系。结合全岛枢纽谋划推进区域运输投送平台建设，筑牢</w:t>
      </w:r>
      <w:r>
        <w:rPr>
          <w:rFonts w:eastAsia="FangSong_GB2312" w:cs="Times New Roman" w:hint="eastAsia"/>
          <w:sz w:val="32"/>
          <w:szCs w:val="32"/>
        </w:rPr>
        <w:t>海上</w:t>
      </w:r>
      <w:r>
        <w:rPr>
          <w:rFonts w:eastAsia="FangSong_GB2312" w:cs="Times New Roman"/>
          <w:sz w:val="32"/>
          <w:szCs w:val="32"/>
        </w:rPr>
        <w:t>交通应急支撑基础。建设海上突发事件感知与应急处置综合指挥平台，提升海上搜救应急能力。</w:t>
      </w:r>
    </w:p>
    <w:p w14:paraId="7B077BDA"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151" w:name="_Toc1152096457"/>
      <w:bookmarkStart w:id="152" w:name="_Toc1884499535"/>
      <w:bookmarkStart w:id="153" w:name="_Toc1836756976"/>
      <w:bookmarkStart w:id="154" w:name="_Toc1595363934"/>
      <w:bookmarkStart w:id="155" w:name="_Toc676956313"/>
      <w:bookmarkStart w:id="156" w:name="_Toc4796"/>
      <w:bookmarkStart w:id="157" w:name="_Toc17259"/>
      <w:bookmarkStart w:id="158" w:name="_Toc2137881975"/>
      <w:r>
        <w:rPr>
          <w:rFonts w:eastAsia="KaiTi_GB2312" w:cs="KaiTi_GB2312" w:hint="eastAsia"/>
          <w:sz w:val="32"/>
          <w:szCs w:val="32"/>
        </w:rPr>
        <w:t>第四节</w:t>
      </w:r>
      <w:r>
        <w:rPr>
          <w:rFonts w:eastAsia="KaiTi_GB2312" w:cs="KaiTi_GB2312" w:hint="eastAsia"/>
          <w:sz w:val="32"/>
          <w:szCs w:val="32"/>
        </w:rPr>
        <w:t xml:space="preserve"> </w:t>
      </w:r>
      <w:r>
        <w:rPr>
          <w:rFonts w:eastAsia="KaiTi_GB2312" w:cs="KaiTi_GB2312" w:hint="eastAsia"/>
          <w:sz w:val="32"/>
          <w:szCs w:val="32"/>
        </w:rPr>
        <w:t>培育壮大及服务支撑产业发展</w:t>
      </w:r>
      <w:bookmarkEnd w:id="151"/>
      <w:bookmarkEnd w:id="152"/>
      <w:bookmarkEnd w:id="153"/>
      <w:bookmarkEnd w:id="154"/>
      <w:bookmarkEnd w:id="155"/>
      <w:bookmarkEnd w:id="156"/>
      <w:bookmarkEnd w:id="157"/>
      <w:bookmarkEnd w:id="158"/>
    </w:p>
    <w:p w14:paraId="692756F3"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发展现代航运产业。</w:t>
      </w:r>
      <w:r>
        <w:rPr>
          <w:rFonts w:ascii="FangSong_GB2312" w:eastAsia="FangSong_GB2312" w:hAnsi="FangSong_GB2312" w:cs="FangSong_GB2312" w:hint="eastAsia"/>
          <w:sz w:val="32"/>
          <w:szCs w:val="32"/>
          <w:lang w:bidi="ar"/>
        </w:rPr>
        <w:t>提升航运基础服务功能，支持发展保税燃供、船员服务、船舶管理、船舶维保、海事仲裁等高附加值业态。支持扩大船舶融资租赁、航运保险等金融产品供给，探索建立海南国际航运交易中心。加快将洋浦港建成具有较高资源配置能力的国际航运服务中心。</w:t>
      </w:r>
    </w:p>
    <w:p w14:paraId="253F92C1"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升级邮轮游艇产业。</w:t>
      </w:r>
      <w:r>
        <w:rPr>
          <w:rFonts w:ascii="FangSong_GB2312" w:eastAsia="FangSong_GB2312" w:hAnsi="FangSong_GB2312" w:cs="FangSong_GB2312" w:hint="eastAsia"/>
          <w:sz w:val="32"/>
          <w:szCs w:val="32"/>
          <w:lang w:bidi="ar"/>
        </w:rPr>
        <w:t>完善邮轮港口基础设施，高标准建设</w:t>
      </w:r>
      <w:r>
        <w:rPr>
          <w:rFonts w:ascii="FangSong_GB2312" w:eastAsia="FangSong_GB2312" w:hAnsi="FangSong_GB2312" w:cs="FangSong_GB2312" w:hint="eastAsia"/>
          <w:sz w:val="32"/>
          <w:szCs w:val="32"/>
          <w:lang w:bidi="ar"/>
        </w:rPr>
        <w:lastRenderedPageBreak/>
        <w:t>三亚国际邮轮港，适时推进海口、儋州邮轮港口规划建设。重点开发面向东南亚、港澳的邮轮始发航线，吸引洲际邮轮航线挂靠，巩固西沙、沿海等邮轮航线。完善邮轮和游艇一站式旅游服务，创新邮轮游艇消费场景。谋划建设一批旅游客运码头，开发一批以海洋、文化、航天、观光旅游等为主题的水上旅游产品</w:t>
      </w:r>
      <w:r>
        <w:rPr>
          <w:rFonts w:ascii="FangSong_GB2312" w:eastAsia="FangSong_GB2312" w:hAnsi="FangSong_GB2312" w:cs="FangSong_GB2312" w:hint="eastAsia"/>
          <w:sz w:val="32"/>
          <w:szCs w:val="32"/>
        </w:rPr>
        <w:t>。</w:t>
      </w:r>
    </w:p>
    <w:p w14:paraId="12EDADDD" w14:textId="77777777" w:rsidR="00000000" w:rsidRDefault="00000000">
      <w:pPr>
        <w:spacing w:line="606" w:lineRule="exact"/>
        <w:ind w:firstLineChars="200" w:firstLine="650"/>
        <w:rPr>
          <w:rFonts w:ascii="FangSong_GB2312" w:eastAsia="FangSong_GB2312" w:hAnsi="FangSong_GB2312" w:cs="FangSong_GB2312" w:hint="eastAsia"/>
          <w:sz w:val="32"/>
          <w:szCs w:val="24"/>
        </w:rPr>
      </w:pPr>
      <w:r>
        <w:rPr>
          <w:rFonts w:ascii="FangSong_GB2312" w:eastAsia="FangSong_GB2312" w:hAnsi="FangSong_GB2312" w:cs="FangSong_GB2312" w:hint="eastAsia"/>
          <w:b/>
          <w:bCs/>
          <w:sz w:val="32"/>
          <w:szCs w:val="32"/>
        </w:rPr>
        <w:t>培育发展低空经济新业态。</w:t>
      </w:r>
      <w:r>
        <w:rPr>
          <w:rFonts w:ascii="FangSong_GB2312" w:eastAsia="FangSong_GB2312" w:hAnsi="FangSong_GB2312" w:cs="FangSong_GB2312" w:hint="eastAsia"/>
          <w:sz w:val="32"/>
          <w:szCs w:val="32"/>
        </w:rPr>
        <w:t>做强跨海运输、海洋应用等特色场景，逐步实现跨琼州海峡通勤、岛际无人机物流配送等场景商业化运营，探索开展海上风电场巡检、海上油气平台监察、海洋资源勘探业务，开展热带特色高效农业植保作业、热带雨林巡护、火箭发射监测等试点。</w:t>
      </w:r>
      <w:r>
        <w:rPr>
          <w:rFonts w:ascii="FangSong_GB2312" w:eastAsia="FangSong_GB2312" w:hAnsi="FangSong_GB2312" w:cs="FangSong_GB2312" w:hint="eastAsia"/>
          <w:sz w:val="32"/>
          <w:szCs w:val="24"/>
        </w:rPr>
        <w:t>打造“前店后厂”低空产业发展模式，建设无人机展销中心，</w:t>
      </w:r>
      <w:r>
        <w:rPr>
          <w:rFonts w:ascii="FangSong_GB2312" w:eastAsia="FangSong_GB2312" w:hAnsi="FangSong_GB2312" w:cs="FangSong_GB2312" w:hint="eastAsia"/>
          <w:bCs/>
          <w:sz w:val="32"/>
          <w:szCs w:val="32"/>
        </w:rPr>
        <w:t>依托海口江东新区、洋浦经济开发区、文昌航天科技城等建设低空装备组装中心、低空航空器维修基地，</w:t>
      </w:r>
      <w:r>
        <w:rPr>
          <w:rFonts w:ascii="FangSong_GB2312" w:eastAsia="FangSong_GB2312" w:hAnsi="FangSong_GB2312" w:cs="FangSong_GB2312" w:hint="eastAsia"/>
          <w:sz w:val="32"/>
          <w:szCs w:val="24"/>
        </w:rPr>
        <w:t>航材及零部件备件仓库，探索发展通用航空保税维修、动力电池报废拆解与再制造等产业</w:t>
      </w:r>
      <w:r>
        <w:rPr>
          <w:rFonts w:ascii="FangSong_GB2312" w:eastAsia="FangSong_GB2312" w:hAnsi="FangSong_GB2312" w:cs="FangSong_GB2312" w:hint="eastAsia"/>
          <w:bCs/>
          <w:sz w:val="32"/>
          <w:szCs w:val="32"/>
        </w:rPr>
        <w:t>。</w:t>
      </w:r>
      <w:r>
        <w:rPr>
          <w:rFonts w:ascii="FangSong_GB2312" w:eastAsia="FangSong_GB2312" w:hAnsi="FangSong_GB2312" w:cs="FangSong_GB2312" w:hint="eastAsia"/>
          <w:sz w:val="32"/>
          <w:szCs w:val="24"/>
        </w:rPr>
        <w:t>创新低空旅游发展模式，大力发展低空观光业态，打造全球知名高空跳伞目的地，创建国际化航空赛事胜地，推动低空旅游与节庆赛事、商贸会展、免税购物等融合发展。</w:t>
      </w:r>
      <w:r>
        <w:rPr>
          <w:rFonts w:ascii="FangSong_GB2312" w:eastAsia="FangSong_GB2312" w:hAnsi="FangSong_GB2312" w:cs="FangSong_GB2312" w:hint="eastAsia"/>
          <w:bCs/>
          <w:sz w:val="32"/>
          <w:szCs w:val="32"/>
        </w:rPr>
        <w:t>申请建设民用无人驾驶航空试验基地（试验区）</w:t>
      </w:r>
      <w:r>
        <w:rPr>
          <w:rFonts w:ascii="FangSong_GB2312" w:eastAsia="FangSong_GB2312" w:hAnsi="FangSong_GB2312" w:cs="FangSong_GB2312" w:hint="eastAsia"/>
          <w:sz w:val="32"/>
          <w:szCs w:val="24"/>
        </w:rPr>
        <w:t>。</w:t>
      </w:r>
    </w:p>
    <w:p w14:paraId="4333B028" w14:textId="77777777" w:rsidR="00000000" w:rsidRDefault="00000000">
      <w:pPr>
        <w:spacing w:line="60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推动邮政快递业与产业融合。</w:t>
      </w:r>
      <w:r>
        <w:rPr>
          <w:rFonts w:ascii="FangSong_GB2312" w:eastAsia="FangSong_GB2312" w:hAnsi="FangSong_GB2312" w:cs="FangSong_GB2312" w:hint="eastAsia"/>
          <w:sz w:val="32"/>
          <w:szCs w:val="32"/>
        </w:rPr>
        <w:t>提升农村寄递服务能力水平，健全完善县乡村三级寄递物流配送体系，推进建设县域邮政快递物流中心，推动农村客货邮融合发展，推动乡镇客运站与寄</w:t>
      </w:r>
      <w:r>
        <w:rPr>
          <w:rFonts w:ascii="FangSong_GB2312" w:eastAsia="FangSong_GB2312" w:hAnsi="FangSong_GB2312" w:cs="FangSong_GB2312" w:hint="eastAsia"/>
          <w:sz w:val="32"/>
          <w:szCs w:val="32"/>
        </w:rPr>
        <w:lastRenderedPageBreak/>
        <w:t>递物流共建共享，推动村级寄递物流综合服务站纳入公共设施建设范畴，打造工业品下乡、农产品进城双向流通渠道。提升国际寄递服务能力水平，做好离岛免税商品、岛内居民消费“零关税”进境商品等寄递服务，鼓励邮政快递企业发展国际寄递业务，服务海南跨境电商发展。提升服务产业能力水平，深化邮政快递业与商贸流通业、热带高效农业、先进制造业等融合发展，鼓励寄递企业深度嵌入产业链供应链，助力降低全社会物流成本。</w:t>
      </w:r>
    </w:p>
    <w:p w14:paraId="30F9C334" w14:textId="77777777" w:rsidR="00000000" w:rsidRDefault="00000000">
      <w:pPr>
        <w:spacing w:line="596"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促进交通产业跨界融合创新。</w:t>
      </w:r>
      <w:r>
        <w:rPr>
          <w:rFonts w:ascii="FangSong_GB2312" w:eastAsia="FangSong_GB2312" w:hAnsi="FangSong_GB2312" w:cs="FangSong_GB2312" w:hint="eastAsia"/>
          <w:sz w:val="32"/>
          <w:szCs w:val="32"/>
        </w:rPr>
        <w:t>推动综合交通运输与“45432”现代化产业体系深度融合。发挥交通在要素流动、市场拓展、空间协同中的基础性纽带作用，为四大主导产业优化升级打通资源配置通道。以交通网络的空间延伸与功能升级，支撑“五向图强”拓展发展边界。依托交通与新技术的深度融合，为“四新”未来产业提供创新应用场景与要素联通保障。通过提升交通服务的便捷性与通达性，推动“三篇消费文章”提质扩容。以开放化、智能化的交通体系为支撑，搭建人才、技术等创新要素便捷流动的桥梁。</w:t>
      </w:r>
    </w:p>
    <w:p w14:paraId="78C25F1B" w14:textId="77777777" w:rsidR="00000000" w:rsidRDefault="00000000">
      <w:pPr>
        <w:spacing w:beforeLines="30" w:before="176" w:afterLines="30" w:after="176" w:line="600" w:lineRule="exact"/>
        <w:jc w:val="center"/>
        <w:outlineLvl w:val="0"/>
        <w:rPr>
          <w:rFonts w:eastAsia="SimHei" w:cs="Times New Roman"/>
          <w:sz w:val="32"/>
          <w:szCs w:val="32"/>
        </w:rPr>
      </w:pPr>
      <w:bookmarkStart w:id="159" w:name="_Toc23658"/>
      <w:bookmarkStart w:id="160" w:name="_Toc845167886"/>
      <w:bookmarkStart w:id="161" w:name="_Toc1747891510"/>
      <w:bookmarkStart w:id="162" w:name="_Toc113288258"/>
      <w:bookmarkStart w:id="163" w:name="_Toc440787023"/>
      <w:bookmarkStart w:id="164" w:name="_Toc401858169"/>
      <w:bookmarkStart w:id="165" w:name="_Toc26894"/>
      <w:bookmarkStart w:id="166" w:name="_Toc321712701"/>
      <w:r>
        <w:rPr>
          <w:rFonts w:eastAsia="SimHei" w:cs="Times New Roman"/>
          <w:sz w:val="32"/>
          <w:szCs w:val="32"/>
        </w:rPr>
        <w:t>第五章</w:t>
      </w:r>
      <w:r>
        <w:rPr>
          <w:rFonts w:eastAsia="SimHei" w:cs="Times New Roman"/>
          <w:sz w:val="32"/>
          <w:szCs w:val="32"/>
        </w:rPr>
        <w:t xml:space="preserve"> </w:t>
      </w:r>
      <w:r>
        <w:rPr>
          <w:rFonts w:eastAsia="SimHei" w:cs="Times New Roman"/>
          <w:sz w:val="32"/>
          <w:szCs w:val="32"/>
        </w:rPr>
        <w:t>深化交通运输体制机制改革</w:t>
      </w:r>
      <w:bookmarkEnd w:id="159"/>
      <w:bookmarkEnd w:id="160"/>
      <w:bookmarkEnd w:id="161"/>
      <w:bookmarkEnd w:id="162"/>
      <w:bookmarkEnd w:id="163"/>
      <w:bookmarkEnd w:id="164"/>
      <w:bookmarkEnd w:id="165"/>
      <w:bookmarkEnd w:id="166"/>
    </w:p>
    <w:p w14:paraId="53C77802"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167" w:name="_Toc15148"/>
      <w:bookmarkStart w:id="168" w:name="_Toc1472982388"/>
      <w:bookmarkStart w:id="169" w:name="_Toc2009400187"/>
      <w:bookmarkStart w:id="170" w:name="_Toc3233"/>
      <w:bookmarkStart w:id="171" w:name="_Toc1680423751"/>
      <w:bookmarkStart w:id="172" w:name="_Toc1051327450"/>
      <w:bookmarkStart w:id="173" w:name="_Toc1103829785"/>
      <w:bookmarkStart w:id="174" w:name="_Toc902607622"/>
      <w:r>
        <w:rPr>
          <w:rFonts w:eastAsia="KaiTi_GB2312" w:cs="KaiTi_GB2312" w:hint="eastAsia"/>
          <w:sz w:val="32"/>
          <w:szCs w:val="32"/>
        </w:rPr>
        <w:t>第一节</w:t>
      </w:r>
      <w:r>
        <w:rPr>
          <w:rFonts w:eastAsia="KaiTi_GB2312" w:cs="KaiTi_GB2312" w:hint="eastAsia"/>
          <w:sz w:val="32"/>
          <w:szCs w:val="32"/>
        </w:rPr>
        <w:t xml:space="preserve"> </w:t>
      </w:r>
      <w:r>
        <w:rPr>
          <w:rFonts w:eastAsia="KaiTi_GB2312" w:cs="KaiTi_GB2312" w:hint="eastAsia"/>
          <w:sz w:val="32"/>
          <w:szCs w:val="32"/>
        </w:rPr>
        <w:t>深化重点领域改革</w:t>
      </w:r>
      <w:bookmarkEnd w:id="167"/>
      <w:bookmarkEnd w:id="168"/>
      <w:bookmarkEnd w:id="169"/>
      <w:bookmarkEnd w:id="170"/>
      <w:bookmarkEnd w:id="171"/>
      <w:bookmarkEnd w:id="172"/>
      <w:bookmarkEnd w:id="173"/>
      <w:bookmarkEnd w:id="174"/>
    </w:p>
    <w:p w14:paraId="2653BF77"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推进综合交通多领域改革，释放海南自由贸易港开放政策红利，创新管理规制与运营模式，激活交通行业发展内生动力。</w:t>
      </w:r>
    </w:p>
    <w:p w14:paraId="75E510CB"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lastRenderedPageBreak/>
        <w:t>创新航空政策应用。</w:t>
      </w:r>
      <w:r>
        <w:rPr>
          <w:rFonts w:ascii="FangSong_GB2312" w:eastAsia="FangSong_GB2312" w:hAnsi="FangSong_GB2312" w:cs="FangSong_GB2312" w:hint="eastAsia"/>
          <w:sz w:val="32"/>
          <w:szCs w:val="32"/>
        </w:rPr>
        <w:t>进一步支持外国航空公司充分使用开放海南第三、四、五、七航权政策，开通直达海南或经停海南至第三国的客货运航线。协调民航局加大对海南拓展两洋航线航权的支持力度，在双边国际航权协议中，扩大海南至相关国家的航权安排。</w:t>
      </w:r>
    </w:p>
    <w:p w14:paraId="6FC23068"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推动铁路体制改革。</w:t>
      </w:r>
      <w:r>
        <w:rPr>
          <w:rFonts w:ascii="FangSong_GB2312" w:eastAsia="FangSong_GB2312" w:hAnsi="FangSong_GB2312" w:cs="FangSong_GB2312" w:hint="eastAsia"/>
          <w:sz w:val="32"/>
          <w:szCs w:val="32"/>
        </w:rPr>
        <w:t>依托海南铁路独立成网特点，探索全岛铁路“网运分离”改革试点，支持国内外优质社会资本通过租用列车运行线和车辆设备等方式参与铁路运营，提高海南铁路自由行、便捷行服务水平。充分发挥市场机制，推动铁路客运价格市场化改革，提升市场活力。</w:t>
      </w:r>
    </w:p>
    <w:p w14:paraId="07C7FEF2" w14:textId="77777777" w:rsidR="00000000" w:rsidRDefault="00000000">
      <w:pPr>
        <w:spacing w:line="600" w:lineRule="exact"/>
        <w:ind w:firstLineChars="200" w:firstLine="650"/>
        <w:rPr>
          <w:rFonts w:ascii="FangSong_GB2312" w:eastAsia="FangSong_GB2312" w:hAnsi="FangSong_GB2312" w:cs="FangSong_GB2312" w:hint="eastAsia"/>
          <w:strike/>
          <w:sz w:val="32"/>
          <w:szCs w:val="32"/>
        </w:rPr>
      </w:pPr>
      <w:r>
        <w:rPr>
          <w:rFonts w:ascii="FangSong_GB2312" w:eastAsia="FangSong_GB2312" w:hAnsi="FangSong_GB2312" w:cs="FangSong_GB2312" w:hint="eastAsia"/>
          <w:b/>
          <w:bCs/>
          <w:sz w:val="32"/>
          <w:szCs w:val="32"/>
        </w:rPr>
        <w:t>深化车辆通行附加费改革。</w:t>
      </w:r>
      <w:r>
        <w:rPr>
          <w:rFonts w:ascii="FangSong_GB2312" w:eastAsia="FangSong_GB2312" w:hAnsi="FangSong_GB2312" w:cs="FangSong_GB2312" w:hint="eastAsia"/>
          <w:sz w:val="32"/>
          <w:szCs w:val="32"/>
        </w:rPr>
        <w:t>健全完善海南公路车辆通行附加费改革制度体系、差异化费率体系、收费出行信用稽查体系，搭建运营管理平台。</w:t>
      </w:r>
    </w:p>
    <w:p w14:paraId="1E8C3274" w14:textId="77777777" w:rsidR="00000000" w:rsidRDefault="00000000">
      <w:pPr>
        <w:spacing w:line="600" w:lineRule="exact"/>
        <w:ind w:firstLineChars="200" w:firstLine="650"/>
        <w:rPr>
          <w:rFonts w:eastAsia="FangSong_GB2312" w:cs="Times New Roman"/>
          <w:sz w:val="32"/>
          <w:szCs w:val="32"/>
        </w:rPr>
      </w:pPr>
      <w:r>
        <w:rPr>
          <w:rFonts w:eastAsia="FangSong_GB2312" w:cs="Times New Roman" w:hint="eastAsia"/>
          <w:b/>
          <w:bCs/>
          <w:sz w:val="32"/>
          <w:szCs w:val="32"/>
          <w:lang w:bidi="ar"/>
        </w:rPr>
        <w:t>加强航运制度创新。</w:t>
      </w:r>
      <w:r>
        <w:rPr>
          <w:rFonts w:eastAsia="FangSong_GB2312" w:cs="FangSong_GB2312" w:hint="eastAsia"/>
          <w:sz w:val="32"/>
          <w:szCs w:val="32"/>
          <w:lang w:bidi="ar"/>
        </w:rPr>
        <w:t>持续提高“中国洋浦港”船籍港影响力，完善国际船舶登记服务，加快落实高效、便捷、开放的船旗国特殊监管政策体系要求。深化洋浦港中转监管模式创新，不断提升通关效率。依托政策和产业优势，打造洋浦国际保税油中心，提高保税油供应保障能力，优化加注监管流程和供油服务，探索拓展清洁能源加注业务。</w:t>
      </w:r>
    </w:p>
    <w:p w14:paraId="037849E3" w14:textId="77777777" w:rsidR="00000000" w:rsidRDefault="00000000">
      <w:pPr>
        <w:spacing w:line="600" w:lineRule="exact"/>
        <w:ind w:firstLineChars="200" w:firstLine="650"/>
        <w:rPr>
          <w:rFonts w:eastAsia="FangSong_GB2312" w:cs="Times New Roman"/>
          <w:sz w:val="32"/>
          <w:szCs w:val="32"/>
        </w:rPr>
      </w:pPr>
      <w:r>
        <w:rPr>
          <w:rFonts w:eastAsia="FangSong_GB2312" w:cs="Times New Roman"/>
          <w:b/>
          <w:bCs/>
          <w:sz w:val="32"/>
          <w:szCs w:val="32"/>
        </w:rPr>
        <w:t>深化低空领域改革。</w:t>
      </w:r>
      <w:r>
        <w:rPr>
          <w:rFonts w:eastAsia="FangSong_GB2312" w:cs="Times New Roman"/>
          <w:sz w:val="32"/>
          <w:szCs w:val="32"/>
        </w:rPr>
        <w:t>用好低空空域管理改革成果，构建协同高效的行政管理体制，创新低空资源统筹管控模式，不断提升协同治理效能。构建系统完备的安全运行规则规制，细化低</w:t>
      </w:r>
      <w:r>
        <w:rPr>
          <w:rFonts w:eastAsia="FangSong_GB2312" w:cs="Times New Roman"/>
          <w:sz w:val="32"/>
          <w:szCs w:val="32"/>
        </w:rPr>
        <w:lastRenderedPageBreak/>
        <w:t>空空域分类划设标准与灵活使用管理流程，强化飞行安全全链条闭环管控。强化精准有力的产业经济政策供给，培育壮大特色低空产业集群，推动低空经济实现规模与质量双提升。</w:t>
      </w:r>
    </w:p>
    <w:p w14:paraId="38B7305A"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175" w:name="_Toc478140843"/>
      <w:bookmarkStart w:id="176" w:name="_Toc8427"/>
      <w:bookmarkStart w:id="177" w:name="_Toc1208794283"/>
      <w:bookmarkStart w:id="178" w:name="_Toc530199820"/>
      <w:bookmarkStart w:id="179" w:name="_Toc31652"/>
      <w:bookmarkStart w:id="180" w:name="_Toc386829636"/>
      <w:bookmarkStart w:id="181" w:name="_Toc1908536176"/>
      <w:bookmarkStart w:id="182" w:name="_Toc1719127681"/>
      <w:r>
        <w:rPr>
          <w:rFonts w:eastAsia="KaiTi_GB2312" w:cs="KaiTi_GB2312" w:hint="eastAsia"/>
          <w:sz w:val="32"/>
          <w:szCs w:val="32"/>
        </w:rPr>
        <w:t>第二节</w:t>
      </w:r>
      <w:r>
        <w:rPr>
          <w:rFonts w:eastAsia="KaiTi_GB2312" w:cs="KaiTi_GB2312" w:hint="eastAsia"/>
          <w:sz w:val="32"/>
          <w:szCs w:val="32"/>
        </w:rPr>
        <w:t xml:space="preserve"> </w:t>
      </w:r>
      <w:r>
        <w:rPr>
          <w:rFonts w:eastAsia="KaiTi_GB2312" w:cs="KaiTi_GB2312" w:hint="eastAsia"/>
          <w:sz w:val="32"/>
          <w:szCs w:val="32"/>
        </w:rPr>
        <w:t>创新投融资体制机制</w:t>
      </w:r>
      <w:bookmarkEnd w:id="175"/>
      <w:bookmarkEnd w:id="176"/>
      <w:bookmarkEnd w:id="177"/>
      <w:bookmarkEnd w:id="178"/>
      <w:bookmarkEnd w:id="179"/>
      <w:bookmarkEnd w:id="180"/>
      <w:bookmarkEnd w:id="181"/>
      <w:bookmarkEnd w:id="182"/>
    </w:p>
    <w:p w14:paraId="66C6D0F3" w14:textId="77777777" w:rsidR="00000000" w:rsidRDefault="00000000">
      <w:pPr>
        <w:overflowPunct w:val="0"/>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创新交通投融资模式，优化财政资金引导效能，吸引社会资本深度参与，为交通建设提供稳定可持续的资金保障。</w:t>
      </w:r>
    </w:p>
    <w:p w14:paraId="744AD576" w14:textId="77777777" w:rsidR="00000000" w:rsidRDefault="00000000">
      <w:pPr>
        <w:overflowPunct w:val="0"/>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kern w:val="0"/>
          <w:sz w:val="32"/>
          <w:szCs w:val="32"/>
          <w:lang w:bidi="ar"/>
        </w:rPr>
        <w:t>优化政府资金支持方式。</w:t>
      </w:r>
      <w:r>
        <w:rPr>
          <w:rFonts w:ascii="FangSong_GB2312" w:eastAsia="FangSong_GB2312" w:hAnsi="FangSong_GB2312" w:cs="FangSong_GB2312" w:hint="eastAsia"/>
          <w:sz w:val="32"/>
          <w:szCs w:val="32"/>
        </w:rPr>
        <w:t>充分发挥财政资金引导作用和放大效应，采取资本金注入、贷款贴息、以奖代补等多种方式支持交通基础设施建设。对于符合条件的重大交通基础设施项目，鼓励使用专项债券作项目资本金，通过“债贷结合”方式支持项目建设。</w:t>
      </w:r>
    </w:p>
    <w:p w14:paraId="75EC123D" w14:textId="77777777" w:rsidR="00000000" w:rsidRDefault="00000000">
      <w:pPr>
        <w:overflowPunct w:val="0"/>
        <w:spacing w:line="598" w:lineRule="exact"/>
        <w:ind w:firstLineChars="200" w:firstLine="650"/>
        <w:rPr>
          <w:rFonts w:ascii="FangSong_GB2312" w:eastAsia="FangSong_GB2312" w:hAnsi="FangSong_GB2312" w:cs="FangSong_GB2312" w:hint="eastAsia"/>
          <w:kern w:val="0"/>
          <w:sz w:val="32"/>
          <w:szCs w:val="32"/>
        </w:rPr>
      </w:pPr>
      <w:r>
        <w:rPr>
          <w:rFonts w:ascii="FangSong_GB2312" w:eastAsia="FangSong_GB2312" w:hAnsi="FangSong_GB2312" w:cs="FangSong_GB2312" w:hint="eastAsia"/>
          <w:b/>
          <w:bCs/>
          <w:kern w:val="0"/>
          <w:sz w:val="32"/>
          <w:szCs w:val="32"/>
        </w:rPr>
        <w:t>鼓励社会资本参与建设。</w:t>
      </w:r>
      <w:r>
        <w:rPr>
          <w:rFonts w:ascii="FangSong_GB2312" w:eastAsia="FangSong_GB2312" w:hAnsi="FangSong_GB2312" w:cs="FangSong_GB2312" w:hint="eastAsia"/>
          <w:kern w:val="0"/>
          <w:sz w:val="32"/>
          <w:szCs w:val="32"/>
        </w:rPr>
        <w:t>经营性项目鼓励采用特许经营权转让或授予方式，通过公开招投标，探索用建设—运营—移交+工程总承包（BOT+EPC）、转让—运营—移交+工程总承包（TOT+EPC）等多种方式，引导社会资本参与交通基础设施投资建设和运营管理。</w:t>
      </w:r>
    </w:p>
    <w:p w14:paraId="7C84B075" w14:textId="77777777" w:rsidR="00000000" w:rsidRDefault="00000000">
      <w:pPr>
        <w:shd w:val="clear" w:color="auto" w:fill="FFFFFF"/>
        <w:overflowPunct w:val="0"/>
        <w:spacing w:line="598" w:lineRule="exact"/>
        <w:ind w:firstLineChars="200" w:firstLine="650"/>
        <w:rPr>
          <w:rFonts w:ascii="FangSong_GB2312" w:eastAsia="FangSong_GB2312" w:hAnsi="FangSong_GB2312" w:cs="FangSong_GB2312" w:hint="eastAsia"/>
          <w:kern w:val="0"/>
          <w:sz w:val="32"/>
          <w:szCs w:val="32"/>
        </w:rPr>
      </w:pPr>
      <w:r>
        <w:rPr>
          <w:rFonts w:ascii="FangSong_GB2312" w:eastAsia="FangSong_GB2312" w:hAnsi="FangSong_GB2312" w:cs="FangSong_GB2312" w:hint="eastAsia"/>
          <w:b/>
          <w:bCs/>
          <w:kern w:val="0"/>
          <w:sz w:val="32"/>
          <w:szCs w:val="32"/>
        </w:rPr>
        <w:t>积极推进项目资产证券化。</w:t>
      </w:r>
      <w:r>
        <w:rPr>
          <w:rFonts w:ascii="FangSong_GB2312" w:eastAsia="FangSong_GB2312" w:hAnsi="FangSong_GB2312" w:cs="FangSong_GB2312" w:hint="eastAsia"/>
          <w:kern w:val="0"/>
          <w:sz w:val="32"/>
          <w:szCs w:val="32"/>
        </w:rPr>
        <w:t>支持承担交通基础设施投融资职能的企业更多利用资本市场融资，广泛利用基础设施领域不动产投资信托资金（REITs）、公司债券、企业债券、中期票据、私募债等融资工具进行融资，提高直接融资比重；积极申请利用新型政策性金融工具，为全省交通基础设施建设提供中长期、低成本资金支持；在审慎管理、规避风险的前提下，积极合理</w:t>
      </w:r>
      <w:r>
        <w:rPr>
          <w:rFonts w:ascii="FangSong_GB2312" w:eastAsia="FangSong_GB2312" w:hAnsi="FangSong_GB2312" w:cs="FangSong_GB2312" w:hint="eastAsia"/>
          <w:kern w:val="0"/>
          <w:sz w:val="32"/>
          <w:szCs w:val="32"/>
        </w:rPr>
        <w:lastRenderedPageBreak/>
        <w:t>利用国际金融组织和外国政府贷款。</w:t>
      </w:r>
    </w:p>
    <w:p w14:paraId="097273EA"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183" w:name="_Toc639855923"/>
      <w:bookmarkStart w:id="184" w:name="_Toc31063"/>
      <w:bookmarkStart w:id="185" w:name="_Toc1495883301"/>
      <w:bookmarkStart w:id="186" w:name="_Toc1217338020"/>
      <w:bookmarkStart w:id="187" w:name="_Toc1611645995"/>
      <w:bookmarkStart w:id="188" w:name="_Toc7744921"/>
      <w:bookmarkStart w:id="189" w:name="_Toc1849034645"/>
      <w:bookmarkStart w:id="190" w:name="_Toc11218"/>
      <w:r>
        <w:rPr>
          <w:rFonts w:eastAsia="KaiTi_GB2312" w:cs="KaiTi_GB2312" w:hint="eastAsia"/>
          <w:sz w:val="32"/>
          <w:szCs w:val="32"/>
        </w:rPr>
        <w:t>第三节</w:t>
      </w:r>
      <w:r>
        <w:rPr>
          <w:rFonts w:eastAsia="KaiTi_GB2312" w:cs="KaiTi_GB2312" w:hint="eastAsia"/>
          <w:sz w:val="32"/>
          <w:szCs w:val="32"/>
        </w:rPr>
        <w:t xml:space="preserve"> </w:t>
      </w:r>
      <w:r>
        <w:rPr>
          <w:rFonts w:eastAsia="KaiTi_GB2312" w:cs="KaiTi_GB2312" w:hint="eastAsia"/>
          <w:sz w:val="32"/>
          <w:szCs w:val="32"/>
        </w:rPr>
        <w:t>建设统一开放大市场</w:t>
      </w:r>
      <w:bookmarkEnd w:id="183"/>
      <w:bookmarkEnd w:id="184"/>
      <w:bookmarkEnd w:id="185"/>
      <w:bookmarkEnd w:id="186"/>
      <w:bookmarkEnd w:id="187"/>
      <w:bookmarkEnd w:id="188"/>
      <w:bookmarkEnd w:id="189"/>
      <w:bookmarkEnd w:id="190"/>
    </w:p>
    <w:p w14:paraId="06D591C8" w14:textId="77777777" w:rsidR="00000000" w:rsidRDefault="00000000">
      <w:pPr>
        <w:spacing w:line="600" w:lineRule="exact"/>
        <w:ind w:firstLineChars="200" w:firstLine="650"/>
        <w:rPr>
          <w:rFonts w:eastAsia="FangSong_GB2312" w:cs="Times New Roman"/>
          <w:sz w:val="32"/>
          <w:szCs w:val="32"/>
        </w:rPr>
      </w:pPr>
      <w:r>
        <w:rPr>
          <w:rFonts w:eastAsia="FangSong_GB2312" w:cs="Times New Roman"/>
          <w:sz w:val="32"/>
          <w:szCs w:val="32"/>
        </w:rPr>
        <w:t>健全交通市场制度规则，优化要素配置与数据流通，打造统一、开放、公平的现代化交通运输市场环境。</w:t>
      </w:r>
    </w:p>
    <w:p w14:paraId="4A465ADB" w14:textId="77777777" w:rsidR="00000000" w:rsidRDefault="00000000">
      <w:pPr>
        <w:spacing w:line="600" w:lineRule="exact"/>
        <w:ind w:firstLineChars="200" w:firstLine="650"/>
        <w:rPr>
          <w:rFonts w:eastAsia="FangSong_GB2312" w:cs="Times New Roman"/>
          <w:b/>
          <w:bCs/>
          <w:sz w:val="32"/>
          <w:szCs w:val="32"/>
        </w:rPr>
      </w:pPr>
      <w:r>
        <w:rPr>
          <w:rFonts w:eastAsia="FangSong_GB2312" w:cs="Times New Roman" w:hint="eastAsia"/>
          <w:b/>
          <w:bCs/>
          <w:sz w:val="32"/>
          <w:szCs w:val="32"/>
        </w:rPr>
        <w:t>健全</w:t>
      </w:r>
      <w:r>
        <w:rPr>
          <w:rFonts w:eastAsia="FangSong_GB2312" w:cs="Times New Roman"/>
          <w:b/>
          <w:bCs/>
          <w:sz w:val="32"/>
          <w:szCs w:val="32"/>
        </w:rPr>
        <w:t>交通运输市场制度。</w:t>
      </w:r>
      <w:r>
        <w:rPr>
          <w:rFonts w:eastAsia="FangSong_GB2312" w:cs="Times New Roman"/>
          <w:sz w:val="32"/>
          <w:szCs w:val="32"/>
        </w:rPr>
        <w:t>严格执行</w:t>
      </w:r>
      <w:r>
        <w:rPr>
          <w:rFonts w:eastAsia="FangSong_GB2312" w:cs="Times New Roman" w:hint="eastAsia"/>
          <w:sz w:val="32"/>
          <w:szCs w:val="32"/>
        </w:rPr>
        <w:t>“</w:t>
      </w:r>
      <w:r>
        <w:rPr>
          <w:rFonts w:eastAsia="FangSong_GB2312" w:cs="Times New Roman"/>
          <w:sz w:val="32"/>
          <w:szCs w:val="32"/>
        </w:rPr>
        <w:t>全国一张清单</w:t>
      </w:r>
      <w:r>
        <w:rPr>
          <w:rFonts w:eastAsia="FangSong_GB2312" w:cs="Times New Roman" w:hint="eastAsia"/>
          <w:sz w:val="32"/>
          <w:szCs w:val="32"/>
        </w:rPr>
        <w:t>”</w:t>
      </w:r>
      <w:r>
        <w:rPr>
          <w:rFonts w:eastAsia="FangSong_GB2312" w:cs="Times New Roman"/>
          <w:sz w:val="32"/>
          <w:szCs w:val="32"/>
        </w:rPr>
        <w:t>管理模式，系统排查清理各类显性和隐性壁垒。健全市场退出机制，规范退出条件与程序，强化安全运营、节能减排等刚性要求。坚持对各类所有制经营主体一视同仁，在要素获取、准入许可、政府采购等方面落实平等对待政策，以制度统一保障市场开放有序。</w:t>
      </w:r>
    </w:p>
    <w:p w14:paraId="08185C0D" w14:textId="77777777" w:rsidR="00000000" w:rsidRDefault="00000000">
      <w:pPr>
        <w:spacing w:line="580" w:lineRule="exact"/>
        <w:ind w:firstLineChars="200" w:firstLine="650"/>
        <w:rPr>
          <w:rFonts w:eastAsia="FangSong_GB2312" w:cs="Times New Roman"/>
          <w:sz w:val="32"/>
          <w:szCs w:val="32"/>
        </w:rPr>
      </w:pPr>
      <w:r>
        <w:rPr>
          <w:rFonts w:eastAsia="FangSong_GB2312" w:cs="Times New Roman"/>
          <w:b/>
          <w:bCs/>
          <w:sz w:val="32"/>
          <w:szCs w:val="32"/>
        </w:rPr>
        <w:t>优化市场要素资源配置。</w:t>
      </w:r>
      <w:r>
        <w:rPr>
          <w:rFonts w:eastAsia="FangSong_GB2312" w:cs="Times New Roman"/>
          <w:sz w:val="32"/>
          <w:szCs w:val="32"/>
        </w:rPr>
        <w:t>统筹用地、用海、空域、用能等资源保障，推动交通基础设施跨部门、跨区域共建共享。建立健全交通数据要素流通机制，依托国家综合交通运输信息平台实现跨领域数据协同共享。</w:t>
      </w:r>
    </w:p>
    <w:p w14:paraId="2990260E" w14:textId="77777777" w:rsidR="00000000" w:rsidRDefault="00000000">
      <w:pPr>
        <w:spacing w:line="580" w:lineRule="exact"/>
        <w:ind w:firstLineChars="200" w:firstLine="650"/>
        <w:rPr>
          <w:rFonts w:eastAsia="FangSong_GB2312" w:cs="Times New Roman"/>
          <w:sz w:val="32"/>
          <w:szCs w:val="32"/>
        </w:rPr>
      </w:pPr>
      <w:r>
        <w:rPr>
          <w:rFonts w:eastAsia="FangSong_GB2312" w:cs="Times New Roman"/>
          <w:b/>
          <w:bCs/>
          <w:sz w:val="32"/>
          <w:szCs w:val="32"/>
        </w:rPr>
        <w:t>完善交通运输监管机制。</w:t>
      </w:r>
      <w:r>
        <w:rPr>
          <w:rFonts w:eastAsia="FangSong_GB2312" w:cs="Times New Roman"/>
          <w:sz w:val="32"/>
          <w:szCs w:val="32"/>
        </w:rPr>
        <w:t>建立以信用为核心的新型监管机制，健全严重失信主体名单制度，推进跨区域监管政策协同与标准统一。</w:t>
      </w:r>
      <w:r>
        <w:rPr>
          <w:rFonts w:eastAsia="FangSong_GB2312" w:cs="Times New Roman" w:hint="eastAsia"/>
          <w:sz w:val="32"/>
          <w:szCs w:val="32"/>
        </w:rPr>
        <w:t>加强反不正当竞争执法，配合开展反垄断相关执法工作</w:t>
      </w:r>
      <w:r>
        <w:rPr>
          <w:rFonts w:eastAsia="FangSong_GB2312" w:cs="Times New Roman"/>
          <w:sz w:val="32"/>
          <w:szCs w:val="32"/>
        </w:rPr>
        <w:t>，防范数据、算法等手段带来的市场垄断风险。优化跨部门联合执法机制，规范自由裁量权，以监管创新维护公平竞争的市场环境。</w:t>
      </w:r>
    </w:p>
    <w:p w14:paraId="1A10BDEE" w14:textId="77777777" w:rsidR="00000000" w:rsidRDefault="00000000">
      <w:pPr>
        <w:spacing w:beforeLines="30" w:before="176" w:afterLines="30" w:after="176" w:line="600" w:lineRule="exact"/>
        <w:jc w:val="center"/>
        <w:outlineLvl w:val="0"/>
        <w:rPr>
          <w:rFonts w:eastAsia="SimHei" w:cs="Times New Roman"/>
          <w:sz w:val="32"/>
          <w:szCs w:val="32"/>
        </w:rPr>
      </w:pPr>
      <w:bookmarkStart w:id="191" w:name="_Toc1335884955"/>
      <w:bookmarkStart w:id="192" w:name="_Toc9570"/>
      <w:bookmarkStart w:id="193" w:name="_Toc763"/>
      <w:bookmarkStart w:id="194" w:name="_Toc1586324169"/>
      <w:bookmarkStart w:id="195" w:name="_Toc1989215568"/>
      <w:bookmarkStart w:id="196" w:name="_Toc1922265974"/>
      <w:bookmarkStart w:id="197" w:name="_Toc536360390"/>
      <w:bookmarkStart w:id="198" w:name="_Toc1662207199"/>
      <w:r>
        <w:rPr>
          <w:rFonts w:eastAsia="SimHei" w:cs="Times New Roman"/>
          <w:sz w:val="32"/>
          <w:szCs w:val="32"/>
        </w:rPr>
        <w:t>第六章</w:t>
      </w:r>
      <w:r>
        <w:rPr>
          <w:rFonts w:eastAsia="SimHei" w:cs="Times New Roman"/>
          <w:sz w:val="32"/>
          <w:szCs w:val="32"/>
        </w:rPr>
        <w:t xml:space="preserve"> </w:t>
      </w:r>
      <w:r>
        <w:rPr>
          <w:rFonts w:eastAsia="SimHei" w:cs="Times New Roman"/>
          <w:sz w:val="32"/>
          <w:szCs w:val="32"/>
        </w:rPr>
        <w:t>环境影响评价</w:t>
      </w:r>
      <w:bookmarkEnd w:id="191"/>
      <w:bookmarkEnd w:id="192"/>
      <w:bookmarkEnd w:id="193"/>
      <w:bookmarkEnd w:id="194"/>
      <w:bookmarkEnd w:id="195"/>
      <w:bookmarkEnd w:id="196"/>
      <w:bookmarkEnd w:id="197"/>
      <w:bookmarkEnd w:id="198"/>
    </w:p>
    <w:p w14:paraId="0F531AF2" w14:textId="77777777" w:rsidR="00000000" w:rsidRDefault="00000000">
      <w:pPr>
        <w:spacing w:line="580" w:lineRule="exact"/>
        <w:ind w:firstLineChars="200" w:firstLine="650"/>
        <w:rPr>
          <w:rFonts w:eastAsia="FangSong_GB2312" w:cs="Times New Roman"/>
          <w:sz w:val="32"/>
          <w:szCs w:val="32"/>
        </w:rPr>
      </w:pPr>
      <w:r>
        <w:rPr>
          <w:rFonts w:eastAsia="FangSong_GB2312" w:cs="Times New Roman"/>
          <w:sz w:val="32"/>
          <w:szCs w:val="32"/>
        </w:rPr>
        <w:lastRenderedPageBreak/>
        <w:t>严守生态保护底线，系统开展环境影响分析与对策研究，全过程落实生态管控与污染防治举措，推动交通发展与生态环境协调融合、绿色永续。</w:t>
      </w:r>
    </w:p>
    <w:p w14:paraId="023D7455"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199" w:name="_Toc1503140150"/>
      <w:bookmarkStart w:id="200" w:name="_Toc15831"/>
      <w:bookmarkStart w:id="201" w:name="_Toc231667620"/>
      <w:bookmarkStart w:id="202" w:name="_Toc2125957670"/>
      <w:bookmarkStart w:id="203" w:name="_Toc29962"/>
      <w:bookmarkStart w:id="204" w:name="_Toc1163785383"/>
      <w:bookmarkStart w:id="205" w:name="_Toc329842971"/>
      <w:bookmarkStart w:id="206" w:name="_Toc1292942365"/>
      <w:r>
        <w:rPr>
          <w:rFonts w:eastAsia="KaiTi_GB2312" w:cs="KaiTi_GB2312" w:hint="eastAsia"/>
          <w:sz w:val="32"/>
          <w:szCs w:val="32"/>
        </w:rPr>
        <w:t>第一节</w:t>
      </w:r>
      <w:r>
        <w:rPr>
          <w:rFonts w:eastAsia="KaiTi_GB2312" w:cs="KaiTi_GB2312" w:hint="eastAsia"/>
          <w:sz w:val="32"/>
          <w:szCs w:val="32"/>
        </w:rPr>
        <w:t xml:space="preserve"> </w:t>
      </w:r>
      <w:r>
        <w:rPr>
          <w:rFonts w:eastAsia="KaiTi_GB2312" w:cs="KaiTi_GB2312" w:hint="eastAsia"/>
          <w:sz w:val="32"/>
          <w:szCs w:val="32"/>
        </w:rPr>
        <w:t>环境影响分析</w:t>
      </w:r>
      <w:bookmarkEnd w:id="199"/>
      <w:bookmarkEnd w:id="200"/>
      <w:bookmarkEnd w:id="201"/>
      <w:bookmarkEnd w:id="202"/>
      <w:bookmarkEnd w:id="203"/>
      <w:bookmarkEnd w:id="204"/>
      <w:bookmarkEnd w:id="205"/>
      <w:bookmarkEnd w:id="206"/>
    </w:p>
    <w:p w14:paraId="0AA4A01F" w14:textId="77777777" w:rsidR="00000000" w:rsidRDefault="00000000">
      <w:pPr>
        <w:spacing w:line="58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sz w:val="32"/>
          <w:szCs w:val="32"/>
        </w:rPr>
        <w:t>本规划以习近平生态文明思想为指导，深入贯彻《中华人民共和国生态环境法典》《海南自由贸易港建设总体方案》《海南省环境保护条例》等顶层设计要求，与《交通强国建设纲要》《国家综合立体交通网规划纲要》形成战略共振，全面衔接《海南省国土空间规划（2021—2035年）》及生态环境分区管控成果，坚持绿色发展理念，注重提升资源、能效综合利用水平，与各类环境敏感区相协调，对气环境、声环境和水环境的影响均在可控范围之内，对于推动海南省交通行业践行“双碳”战略，实现高质量发展具有积极的促进作用。</w:t>
      </w:r>
    </w:p>
    <w:p w14:paraId="689F846D"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207" w:name="_Toc27739"/>
      <w:bookmarkStart w:id="208" w:name="_Toc40083275"/>
      <w:bookmarkStart w:id="209" w:name="_Toc238609862"/>
      <w:bookmarkStart w:id="210" w:name="_Toc1901847075"/>
      <w:bookmarkStart w:id="211" w:name="_Toc1949951391"/>
      <w:bookmarkStart w:id="212" w:name="_Toc1490861271"/>
      <w:bookmarkStart w:id="213" w:name="_Toc10558"/>
      <w:bookmarkStart w:id="214" w:name="_Toc854044380"/>
      <w:r>
        <w:rPr>
          <w:rFonts w:eastAsia="KaiTi_GB2312" w:cs="KaiTi_GB2312" w:hint="eastAsia"/>
          <w:sz w:val="32"/>
          <w:szCs w:val="32"/>
        </w:rPr>
        <w:t>第二节</w:t>
      </w:r>
      <w:r>
        <w:rPr>
          <w:rFonts w:eastAsia="KaiTi_GB2312" w:cs="KaiTi_GB2312" w:hint="eastAsia"/>
          <w:sz w:val="32"/>
          <w:szCs w:val="32"/>
        </w:rPr>
        <w:t xml:space="preserve"> </w:t>
      </w:r>
      <w:r>
        <w:rPr>
          <w:rFonts w:eastAsia="KaiTi_GB2312" w:cs="KaiTi_GB2312" w:hint="eastAsia"/>
          <w:sz w:val="32"/>
          <w:szCs w:val="32"/>
        </w:rPr>
        <w:t>环境影响对策</w:t>
      </w:r>
      <w:bookmarkEnd w:id="207"/>
      <w:bookmarkEnd w:id="208"/>
      <w:bookmarkEnd w:id="209"/>
      <w:bookmarkEnd w:id="210"/>
      <w:bookmarkEnd w:id="211"/>
      <w:bookmarkEnd w:id="212"/>
      <w:bookmarkEnd w:id="213"/>
      <w:bookmarkEnd w:id="214"/>
    </w:p>
    <w:p w14:paraId="4AA83F27" w14:textId="77777777" w:rsidR="00000000" w:rsidRDefault="00000000">
      <w:pPr>
        <w:spacing w:line="60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规划期环境影响减缓措施。</w:t>
      </w:r>
      <w:r>
        <w:rPr>
          <w:rFonts w:ascii="FangSong_GB2312" w:eastAsia="FangSong_GB2312" w:hAnsi="FangSong_GB2312" w:cs="FangSong_GB2312" w:hint="eastAsia"/>
          <w:sz w:val="32"/>
          <w:szCs w:val="32"/>
        </w:rPr>
        <w:t>以海南生态环境承载能力为刚性约束，依托地理信息系统（GIS）、生态敏感性评估等先进技术，科学划定交通项目空间布局。优先避让生态保护红线、饮用水水源保护区等生态敏感区，减少对重要生态功能区、生态脆弱和敏感区域影响，完善补偿机制。涉水项目须严格落实法律法规要求，办理相关水行政许可手续。严控耕地占用与海岸线开发强度，统筹利用既有交通廊道资源，实现土地资源集约</w:t>
      </w:r>
      <w:r>
        <w:rPr>
          <w:rFonts w:ascii="FangSong_GB2312" w:eastAsia="FangSong_GB2312" w:hAnsi="FangSong_GB2312" w:cs="FangSong_GB2312" w:hint="eastAsia"/>
          <w:sz w:val="32"/>
          <w:szCs w:val="32"/>
        </w:rPr>
        <w:lastRenderedPageBreak/>
        <w:t>化配置。融入生态环境分区管控要求，从源头降低生态冲突风险，确保交通网络与生态安全格局协同优化。</w:t>
      </w:r>
    </w:p>
    <w:p w14:paraId="338B857F" w14:textId="77777777" w:rsidR="00000000" w:rsidRDefault="00000000">
      <w:pPr>
        <w:spacing w:line="600" w:lineRule="exact"/>
        <w:ind w:firstLineChars="200" w:firstLine="650"/>
        <w:jc w:val="left"/>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建设期环境影响减缓措施。</w:t>
      </w:r>
      <w:r>
        <w:rPr>
          <w:rFonts w:ascii="FangSong_GB2312" w:eastAsia="FangSong_GB2312" w:hAnsi="FangSong_GB2312" w:cs="FangSong_GB2312" w:hint="eastAsia"/>
          <w:sz w:val="32"/>
          <w:szCs w:val="32"/>
        </w:rPr>
        <w:t>严格核查施工项目环评审批、环保手续合规性，强化规划环评与建设项目环评的联动机制，确保具体工程建设合法合规。推进环境修复与污染治理，落实地形地貌生态恢复、土地复垦举措。综合防治交通项目建设期噪声、振动污染，强化水土保持与生态保护，推进生态恢复、景观整治及交通绿色通道建设。推广环保新技术，推动废气、废水及固体废物循环利用与综合处置。</w:t>
      </w:r>
    </w:p>
    <w:p w14:paraId="0A8D3A2C" w14:textId="77777777" w:rsidR="00000000" w:rsidRDefault="00000000">
      <w:pPr>
        <w:spacing w:line="600" w:lineRule="exact"/>
        <w:ind w:firstLineChars="200" w:firstLine="650"/>
        <w:jc w:val="left"/>
        <w:rPr>
          <w:rFonts w:eastAsia="FangSong_GB2312" w:cs="Times New Roman"/>
          <w:sz w:val="32"/>
          <w:szCs w:val="32"/>
        </w:rPr>
      </w:pPr>
      <w:r>
        <w:rPr>
          <w:rFonts w:ascii="FangSong_GB2312" w:eastAsia="FangSong_GB2312" w:hAnsi="FangSong_GB2312" w:cs="FangSong_GB2312" w:hint="eastAsia"/>
          <w:b/>
          <w:bCs/>
          <w:sz w:val="32"/>
          <w:szCs w:val="32"/>
        </w:rPr>
        <w:t>运营期环境影响减缓措施。</w:t>
      </w:r>
      <w:r>
        <w:rPr>
          <w:rFonts w:ascii="FangSong_GB2312" w:eastAsia="FangSong_GB2312" w:hAnsi="FangSong_GB2312" w:cs="FangSong_GB2312" w:hint="eastAsia"/>
          <w:sz w:val="32"/>
          <w:szCs w:val="32"/>
        </w:rPr>
        <w:t>定期开展环境影响后评价，对尾气排放、噪声污染、径流污染等实施动态追踪与精准调控，及时优化污染防控策略。完善生态保护长效机制，通过碳汇交易、生态修复基金等市场化手段，对冲交通运营环境影响，实现环境底线管控与低碳交通体系建设的双向赋能。</w:t>
      </w:r>
    </w:p>
    <w:p w14:paraId="66FD6613" w14:textId="77777777" w:rsidR="00000000" w:rsidRDefault="00000000">
      <w:pPr>
        <w:spacing w:beforeLines="30" w:before="176" w:afterLines="30" w:after="176" w:line="600" w:lineRule="exact"/>
        <w:jc w:val="center"/>
        <w:outlineLvl w:val="0"/>
        <w:rPr>
          <w:rFonts w:eastAsia="SimHei" w:cs="Times New Roman"/>
          <w:sz w:val="32"/>
          <w:szCs w:val="32"/>
        </w:rPr>
      </w:pPr>
      <w:bookmarkStart w:id="215" w:name="_Toc1887751349"/>
      <w:bookmarkStart w:id="216" w:name="_Toc1015581281"/>
      <w:bookmarkStart w:id="217" w:name="_Toc28322"/>
      <w:bookmarkStart w:id="218" w:name="_Toc1535696212"/>
      <w:bookmarkStart w:id="219" w:name="_Toc1686108377"/>
      <w:bookmarkStart w:id="220" w:name="_Toc15398"/>
      <w:bookmarkStart w:id="221" w:name="_Toc1368322127"/>
      <w:bookmarkStart w:id="222" w:name="_Toc1743411069"/>
      <w:r>
        <w:rPr>
          <w:rFonts w:eastAsia="SimHei" w:cs="Times New Roman"/>
          <w:sz w:val="32"/>
          <w:szCs w:val="32"/>
        </w:rPr>
        <w:t>第七章</w:t>
      </w:r>
      <w:r>
        <w:rPr>
          <w:rFonts w:eastAsia="SimHei" w:cs="Times New Roman"/>
          <w:sz w:val="32"/>
          <w:szCs w:val="32"/>
        </w:rPr>
        <w:t xml:space="preserve"> </w:t>
      </w:r>
      <w:r>
        <w:rPr>
          <w:rFonts w:eastAsia="SimHei" w:cs="Times New Roman"/>
          <w:sz w:val="32"/>
          <w:szCs w:val="32"/>
        </w:rPr>
        <w:t>实施保障</w:t>
      </w:r>
      <w:bookmarkEnd w:id="215"/>
      <w:bookmarkEnd w:id="216"/>
      <w:bookmarkEnd w:id="217"/>
      <w:bookmarkEnd w:id="218"/>
      <w:bookmarkEnd w:id="219"/>
      <w:bookmarkEnd w:id="220"/>
      <w:bookmarkEnd w:id="221"/>
      <w:bookmarkEnd w:id="222"/>
    </w:p>
    <w:p w14:paraId="2241DAAB" w14:textId="77777777" w:rsidR="00000000" w:rsidRDefault="00000000">
      <w:pPr>
        <w:spacing w:line="600" w:lineRule="exact"/>
        <w:ind w:firstLineChars="200" w:firstLine="650"/>
        <w:rPr>
          <w:rFonts w:eastAsia="FangSong_GB2312" w:cs="Times New Roman"/>
          <w:sz w:val="32"/>
          <w:szCs w:val="32"/>
        </w:rPr>
      </w:pPr>
      <w:r>
        <w:rPr>
          <w:rFonts w:eastAsia="FangSong_GB2312" w:cs="Times New Roman"/>
          <w:sz w:val="32"/>
          <w:szCs w:val="32"/>
        </w:rPr>
        <w:t>构建系统高效的规划实施保障机制，强化统筹领导、对上争取、多规协同与要素支撑，全力保障规划各项任务落地落实。</w:t>
      </w:r>
    </w:p>
    <w:p w14:paraId="536E9DF3"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223" w:name="_Toc103382955"/>
      <w:bookmarkStart w:id="224" w:name="_Toc1348271041"/>
      <w:bookmarkStart w:id="225" w:name="_Toc1758992280"/>
      <w:bookmarkStart w:id="226" w:name="_Toc27079"/>
      <w:bookmarkStart w:id="227" w:name="_Toc1080719746"/>
      <w:bookmarkStart w:id="228" w:name="_Toc147367770"/>
      <w:bookmarkStart w:id="229" w:name="_Toc1799248544"/>
      <w:bookmarkStart w:id="230" w:name="_Toc32011"/>
      <w:r>
        <w:rPr>
          <w:rFonts w:eastAsia="KaiTi_GB2312" w:cs="KaiTi_GB2312" w:hint="eastAsia"/>
          <w:sz w:val="32"/>
          <w:szCs w:val="32"/>
        </w:rPr>
        <w:t>第一节</w:t>
      </w:r>
      <w:r>
        <w:rPr>
          <w:rFonts w:eastAsia="KaiTi_GB2312" w:cs="KaiTi_GB2312" w:hint="eastAsia"/>
          <w:sz w:val="32"/>
          <w:szCs w:val="32"/>
        </w:rPr>
        <w:t xml:space="preserve"> </w:t>
      </w:r>
      <w:r>
        <w:rPr>
          <w:rFonts w:eastAsia="KaiTi_GB2312" w:cs="KaiTi_GB2312" w:hint="eastAsia"/>
          <w:sz w:val="32"/>
          <w:szCs w:val="32"/>
        </w:rPr>
        <w:t>加强组织领导</w:t>
      </w:r>
      <w:bookmarkEnd w:id="223"/>
      <w:bookmarkEnd w:id="224"/>
      <w:bookmarkEnd w:id="225"/>
      <w:bookmarkEnd w:id="226"/>
      <w:bookmarkEnd w:id="227"/>
      <w:bookmarkEnd w:id="228"/>
      <w:bookmarkEnd w:id="229"/>
      <w:bookmarkEnd w:id="230"/>
    </w:p>
    <w:p w14:paraId="55AE4639" w14:textId="77777777" w:rsidR="00000000" w:rsidRDefault="00000000">
      <w:pPr>
        <w:spacing w:line="600" w:lineRule="exact"/>
        <w:ind w:firstLineChars="200" w:firstLine="650"/>
        <w:rPr>
          <w:rFonts w:eastAsia="FangSong_GB2312" w:cs="Times New Roman"/>
          <w:sz w:val="32"/>
          <w:szCs w:val="32"/>
        </w:rPr>
      </w:pPr>
      <w:r>
        <w:rPr>
          <w:rFonts w:eastAsia="FangSong_GB2312" w:cs="Times New Roman"/>
          <w:sz w:val="32"/>
          <w:szCs w:val="32"/>
        </w:rPr>
        <w:t>坚持</w:t>
      </w:r>
      <w:r>
        <w:rPr>
          <w:rFonts w:eastAsia="FangSong_GB2312" w:cs="Times New Roman" w:hint="eastAsia"/>
          <w:sz w:val="32"/>
          <w:szCs w:val="32"/>
        </w:rPr>
        <w:t>把党的领导贯彻到规划建设全过程各方面。</w:t>
      </w:r>
      <w:r>
        <w:rPr>
          <w:rFonts w:eastAsia="FangSong_GB2312" w:cs="Times New Roman"/>
          <w:sz w:val="32"/>
          <w:szCs w:val="32"/>
        </w:rPr>
        <w:t>建立跨部门协调沟通机制，打破部门之间的信息壁垒。针对交通规划中的重大问题和难点问题，组织多部门联合研讨，明确各部门职</w:t>
      </w:r>
      <w:r>
        <w:rPr>
          <w:rFonts w:eastAsia="FangSong_GB2312" w:cs="Times New Roman"/>
          <w:sz w:val="32"/>
          <w:szCs w:val="32"/>
        </w:rPr>
        <w:lastRenderedPageBreak/>
        <w:t>责分工，共同制定解决方案，形成工作合力，提升规划实施效率。</w:t>
      </w:r>
    </w:p>
    <w:p w14:paraId="19C8D579"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231" w:name="_Toc26690"/>
      <w:bookmarkStart w:id="232" w:name="_Toc569539949"/>
      <w:bookmarkStart w:id="233" w:name="_Toc56927900"/>
      <w:bookmarkStart w:id="234" w:name="_Toc2103071088"/>
      <w:bookmarkStart w:id="235" w:name="_Toc15566"/>
      <w:bookmarkStart w:id="236" w:name="_Toc762892249"/>
      <w:bookmarkStart w:id="237" w:name="_Toc2122985763"/>
      <w:bookmarkStart w:id="238" w:name="_Toc2112700368"/>
      <w:r>
        <w:rPr>
          <w:rFonts w:eastAsia="KaiTi_GB2312" w:cs="KaiTi_GB2312" w:hint="eastAsia"/>
          <w:sz w:val="32"/>
          <w:szCs w:val="32"/>
        </w:rPr>
        <w:t>第二节</w:t>
      </w:r>
      <w:r>
        <w:rPr>
          <w:rFonts w:eastAsia="KaiTi_GB2312" w:cs="KaiTi_GB2312" w:hint="eastAsia"/>
          <w:sz w:val="32"/>
          <w:szCs w:val="32"/>
        </w:rPr>
        <w:t xml:space="preserve"> </w:t>
      </w:r>
      <w:r>
        <w:rPr>
          <w:rFonts w:eastAsia="KaiTi_GB2312" w:cs="KaiTi_GB2312" w:hint="eastAsia"/>
          <w:sz w:val="32"/>
          <w:szCs w:val="32"/>
        </w:rPr>
        <w:t>争取国家支持</w:t>
      </w:r>
      <w:bookmarkEnd w:id="231"/>
      <w:bookmarkEnd w:id="232"/>
      <w:bookmarkEnd w:id="233"/>
      <w:bookmarkEnd w:id="234"/>
      <w:bookmarkEnd w:id="235"/>
      <w:bookmarkEnd w:id="236"/>
      <w:bookmarkEnd w:id="237"/>
      <w:bookmarkEnd w:id="238"/>
    </w:p>
    <w:p w14:paraId="48B2317D" w14:textId="77777777" w:rsidR="00000000" w:rsidRDefault="00000000">
      <w:pPr>
        <w:spacing w:line="600" w:lineRule="exact"/>
        <w:ind w:firstLineChars="200" w:firstLine="650"/>
        <w:rPr>
          <w:rFonts w:eastAsia="FangSong_GB2312" w:cs="Times New Roman"/>
          <w:sz w:val="32"/>
          <w:szCs w:val="32"/>
        </w:rPr>
      </w:pPr>
      <w:r>
        <w:rPr>
          <w:rFonts w:eastAsia="FangSong_GB2312" w:cs="Times New Roman"/>
          <w:sz w:val="32"/>
          <w:szCs w:val="32"/>
        </w:rPr>
        <w:t>深入剖析国家战略布局与发展需求，紧密结合海南独特的地理位置优势与自贸港的战略定位，精准锚定自贸港综合立体交通体系与国家重大战略的契合点，统筹协同推动各类研究成果落地见效，形成重大项目、重大任务、重大政策清单，积极争取纳入国家级规划和实施计划安排。主动加强与国家相关部委的沟通交流，建立定期汇报机制，及时、全面地汇报海南综合交通体系规划建设的进展情况与实际需求，积极争取国家层面的政策倾斜和资金支持。</w:t>
      </w:r>
    </w:p>
    <w:p w14:paraId="77215A87"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239" w:name="_Toc1220039518"/>
      <w:bookmarkStart w:id="240" w:name="_Toc131057703"/>
      <w:bookmarkStart w:id="241" w:name="_Toc933378859"/>
      <w:bookmarkStart w:id="242" w:name="_Toc137364947"/>
      <w:bookmarkStart w:id="243" w:name="_Toc8377"/>
      <w:bookmarkStart w:id="244" w:name="_Toc271381087"/>
      <w:bookmarkStart w:id="245" w:name="_Toc3662758"/>
      <w:bookmarkStart w:id="246" w:name="_Toc17189"/>
      <w:r>
        <w:rPr>
          <w:rFonts w:eastAsia="KaiTi_GB2312" w:cs="KaiTi_GB2312" w:hint="eastAsia"/>
          <w:sz w:val="32"/>
          <w:szCs w:val="32"/>
        </w:rPr>
        <w:t>第三节</w:t>
      </w:r>
      <w:r>
        <w:rPr>
          <w:rFonts w:eastAsia="KaiTi_GB2312" w:cs="KaiTi_GB2312" w:hint="eastAsia"/>
          <w:sz w:val="32"/>
          <w:szCs w:val="32"/>
        </w:rPr>
        <w:t xml:space="preserve"> </w:t>
      </w:r>
      <w:r>
        <w:rPr>
          <w:rFonts w:eastAsia="KaiTi_GB2312" w:cs="KaiTi_GB2312" w:hint="eastAsia"/>
          <w:sz w:val="32"/>
          <w:szCs w:val="32"/>
        </w:rPr>
        <w:t>统筹规划衔接</w:t>
      </w:r>
      <w:bookmarkEnd w:id="239"/>
      <w:bookmarkEnd w:id="240"/>
      <w:bookmarkEnd w:id="241"/>
      <w:bookmarkEnd w:id="242"/>
      <w:bookmarkEnd w:id="243"/>
      <w:bookmarkEnd w:id="244"/>
      <w:bookmarkEnd w:id="245"/>
      <w:bookmarkEnd w:id="246"/>
    </w:p>
    <w:p w14:paraId="559AF03E" w14:textId="77777777" w:rsidR="00000000" w:rsidRDefault="00000000">
      <w:pPr>
        <w:spacing w:line="580" w:lineRule="exact"/>
        <w:ind w:firstLineChars="200" w:firstLine="650"/>
        <w:rPr>
          <w:rFonts w:eastAsia="FangSong_GB2312" w:cs="Times New Roman"/>
          <w:sz w:val="32"/>
          <w:szCs w:val="32"/>
        </w:rPr>
      </w:pPr>
      <w:r>
        <w:rPr>
          <w:rFonts w:eastAsia="FangSong_GB2312" w:cs="Times New Roman"/>
          <w:sz w:val="32"/>
          <w:szCs w:val="32"/>
        </w:rPr>
        <w:t>强化部门之间的沟通协作，形成工作合力，确保交通规划与国土空间规划、产业发展规划等紧密衔接，从源头上避免规划冲突，实现多规合一。全面统筹岛内外各区域交通规划，依据不同区域的功能定位与发展需求，科学合理地布局交通基础设施，打破区域壁垒，促进区域交通一体化发展，提升区域整体交通运行效率。深度融合交通规划与城市规划，以交通发展引领城市发展，实现交通与城市发展的相互促进、协同共进。</w:t>
      </w:r>
    </w:p>
    <w:p w14:paraId="33FF5676" w14:textId="77777777" w:rsidR="00000000" w:rsidRDefault="00000000">
      <w:pPr>
        <w:keepNext/>
        <w:keepLines/>
        <w:spacing w:beforeLines="30" w:before="176" w:afterLines="30" w:after="176" w:line="600" w:lineRule="exact"/>
        <w:jc w:val="center"/>
        <w:outlineLvl w:val="1"/>
        <w:rPr>
          <w:rFonts w:eastAsia="KaiTi_GB2312" w:cs="KaiTi_GB2312" w:hint="eastAsia"/>
          <w:sz w:val="32"/>
          <w:szCs w:val="32"/>
        </w:rPr>
      </w:pPr>
      <w:bookmarkStart w:id="247" w:name="_Toc14404"/>
      <w:bookmarkStart w:id="248" w:name="_Toc4266"/>
      <w:bookmarkStart w:id="249" w:name="_Toc488790245"/>
      <w:bookmarkStart w:id="250" w:name="_Toc1220361785"/>
      <w:bookmarkStart w:id="251" w:name="_Toc2123662820"/>
      <w:bookmarkStart w:id="252" w:name="_Toc1480898308"/>
      <w:bookmarkStart w:id="253" w:name="_Toc1140101509"/>
      <w:bookmarkStart w:id="254" w:name="_Toc1863459718"/>
      <w:r>
        <w:rPr>
          <w:rFonts w:eastAsia="KaiTi_GB2312" w:cs="KaiTi_GB2312" w:hint="eastAsia"/>
          <w:sz w:val="32"/>
          <w:szCs w:val="32"/>
        </w:rPr>
        <w:t>第四节</w:t>
      </w:r>
      <w:r>
        <w:rPr>
          <w:rFonts w:eastAsia="KaiTi_GB2312" w:cs="KaiTi_GB2312" w:hint="eastAsia"/>
          <w:sz w:val="32"/>
          <w:szCs w:val="32"/>
        </w:rPr>
        <w:t xml:space="preserve"> </w:t>
      </w:r>
      <w:r>
        <w:rPr>
          <w:rFonts w:eastAsia="KaiTi_GB2312" w:cs="KaiTi_GB2312" w:hint="eastAsia"/>
          <w:sz w:val="32"/>
          <w:szCs w:val="32"/>
        </w:rPr>
        <w:t>强化要素保障</w:t>
      </w:r>
      <w:bookmarkEnd w:id="247"/>
      <w:bookmarkEnd w:id="248"/>
      <w:bookmarkEnd w:id="249"/>
      <w:bookmarkEnd w:id="250"/>
      <w:bookmarkEnd w:id="251"/>
      <w:bookmarkEnd w:id="252"/>
      <w:bookmarkEnd w:id="253"/>
      <w:bookmarkEnd w:id="254"/>
    </w:p>
    <w:p w14:paraId="65A4C1D5" w14:textId="77777777" w:rsidR="00000000" w:rsidRDefault="00000000">
      <w:pPr>
        <w:spacing w:line="580" w:lineRule="exact"/>
        <w:ind w:firstLineChars="200" w:firstLine="650"/>
        <w:rPr>
          <w:rFonts w:eastAsia="FangSong_GB2312" w:cs="Times New Roman"/>
          <w:sz w:val="32"/>
          <w:szCs w:val="32"/>
        </w:rPr>
      </w:pPr>
      <w:r>
        <w:rPr>
          <w:rFonts w:eastAsia="FangSong_GB2312" w:cs="Times New Roman"/>
          <w:sz w:val="32"/>
          <w:szCs w:val="32"/>
        </w:rPr>
        <w:t>资金保障方面，继续发挥财政资金的引导作用，积极拓宽</w:t>
      </w:r>
      <w:r>
        <w:rPr>
          <w:rFonts w:eastAsia="FangSong_GB2312" w:cs="Times New Roman"/>
          <w:sz w:val="32"/>
          <w:szCs w:val="32"/>
        </w:rPr>
        <w:lastRenderedPageBreak/>
        <w:t>融资渠道，在持续争取国家资金与财政投入的基础上，优化市场主体准入政务服务，促进投资自由便利，充分调动社会资本参与交通项目建设的积极性，为交通建设提供多元化的资金来源。土地保障方面，科学合理安排交通建设用地指标，优先保障重大交通项目用地需求，同时加强土地资源的集约利用，通过优化设计、提高土地利用率等措施，实现土地资源的高效配置。</w:t>
      </w:r>
    </w:p>
    <w:p w14:paraId="7CAD07D4" w14:textId="77777777" w:rsidR="00000000" w:rsidRDefault="00000000">
      <w:pPr>
        <w:pStyle w:val="Footer"/>
        <w:rPr>
          <w:rFonts w:eastAsia="FangSong_GB2312" w:cs="Times New Roman"/>
          <w:sz w:val="32"/>
          <w:szCs w:val="32"/>
        </w:rPr>
      </w:pPr>
    </w:p>
    <w:p w14:paraId="15124F19" w14:textId="77777777" w:rsidR="00000000" w:rsidRDefault="00000000">
      <w:pPr>
        <w:pStyle w:val="Footer"/>
        <w:rPr>
          <w:rFonts w:eastAsia="FangSong_GB2312" w:cs="Times New Roman"/>
          <w:sz w:val="32"/>
          <w:szCs w:val="32"/>
        </w:rPr>
      </w:pPr>
    </w:p>
    <w:p w14:paraId="7A7127F4" w14:textId="77777777" w:rsidR="00000000" w:rsidRDefault="00000000">
      <w:pPr>
        <w:rPr>
          <w:rFonts w:eastAsia="FangSong_GB2312" w:cs="Times New Roman"/>
          <w:sz w:val="32"/>
          <w:szCs w:val="32"/>
        </w:rPr>
      </w:pPr>
    </w:p>
    <w:p w14:paraId="6216AC7B" w14:textId="77777777" w:rsidR="00000000" w:rsidRDefault="00000000">
      <w:pPr>
        <w:spacing w:beforeLines="30" w:before="176" w:afterLines="30" w:after="176" w:line="570" w:lineRule="exact"/>
        <w:jc w:val="center"/>
        <w:outlineLvl w:val="0"/>
        <w:rPr>
          <w:rFonts w:eastAsia="SimHei" w:cs="Times New Roman"/>
          <w:sz w:val="32"/>
          <w:szCs w:val="32"/>
        </w:rPr>
      </w:pPr>
      <w:bookmarkStart w:id="255" w:name="_Toc1859765942"/>
      <w:r>
        <w:rPr>
          <w:rFonts w:eastAsia="SimHei" w:cs="Times New Roman"/>
          <w:sz w:val="32"/>
          <w:szCs w:val="32"/>
        </w:rPr>
        <w:br w:type="page"/>
      </w:r>
      <w:bookmarkStart w:id="256" w:name="_Toc1000120668"/>
      <w:bookmarkStart w:id="257" w:name="_Toc958380054"/>
      <w:bookmarkStart w:id="258" w:name="_Toc943956929"/>
      <w:bookmarkStart w:id="259" w:name="_Toc1110165814"/>
      <w:r>
        <w:rPr>
          <w:rFonts w:eastAsia="SimHei" w:cs="Times New Roman"/>
          <w:sz w:val="32"/>
          <w:szCs w:val="32"/>
        </w:rPr>
        <w:lastRenderedPageBreak/>
        <w:t>名词解释</w:t>
      </w:r>
      <w:bookmarkEnd w:id="255"/>
      <w:bookmarkEnd w:id="256"/>
      <w:bookmarkEnd w:id="257"/>
      <w:bookmarkEnd w:id="258"/>
      <w:bookmarkEnd w:id="259"/>
    </w:p>
    <w:p w14:paraId="1AE3D9CE" w14:textId="77777777" w:rsidR="00000000" w:rsidRDefault="00000000">
      <w:pPr>
        <w:pStyle w:val="Footer"/>
        <w:spacing w:beforeLines="30" w:before="176" w:afterLines="30" w:after="176"/>
      </w:pPr>
    </w:p>
    <w:p w14:paraId="322775A0" w14:textId="77777777" w:rsidR="00000000" w:rsidRDefault="00000000">
      <w:pPr>
        <w:spacing w:line="57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1.三区一中心：</w:t>
      </w:r>
      <w:r>
        <w:rPr>
          <w:rFonts w:ascii="FangSong_GB2312" w:eastAsia="FangSong_GB2312" w:hAnsi="FangSong_GB2312" w:cs="FangSong_GB2312" w:hint="eastAsia"/>
          <w:sz w:val="32"/>
          <w:szCs w:val="32"/>
        </w:rPr>
        <w:t>全面深化改革开放试验区、国家生态文明试验区、国家重大战略服务保障区、国际旅游消费中心。</w:t>
      </w:r>
    </w:p>
    <w:p w14:paraId="2ED84109" w14:textId="77777777" w:rsidR="00000000" w:rsidRDefault="00000000">
      <w:pPr>
        <w:pStyle w:val="Footer"/>
        <w:spacing w:line="570" w:lineRule="exact"/>
        <w:ind w:firstLineChars="200" w:firstLine="650"/>
        <w:jc w:val="both"/>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2.“双环”旅游公路：</w:t>
      </w:r>
      <w:r>
        <w:rPr>
          <w:rFonts w:ascii="FangSong_GB2312" w:eastAsia="FangSong_GB2312" w:hAnsi="FangSong_GB2312" w:cs="FangSong_GB2312" w:hint="eastAsia"/>
          <w:sz w:val="32"/>
          <w:szCs w:val="32"/>
        </w:rPr>
        <w:t>海南环岛旅游公路、环热带雨林国家公园旅游公路。</w:t>
      </w:r>
    </w:p>
    <w:p w14:paraId="3943BBCE" w14:textId="77777777" w:rsidR="00000000" w:rsidRDefault="00000000">
      <w:pPr>
        <w:spacing w:line="57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3.“中国洋浦港”船籍港：</w:t>
      </w:r>
      <w:r>
        <w:rPr>
          <w:rFonts w:ascii="FangSong_GB2312" w:eastAsia="FangSong_GB2312" w:hAnsi="FangSong_GB2312" w:cs="FangSong_GB2312" w:hint="eastAsia"/>
          <w:sz w:val="32"/>
          <w:szCs w:val="32"/>
        </w:rPr>
        <w:t>航运企业将船舶登记“中国洋浦港”船籍港，在符合政策条件前提下，船舶购置、船舶登记、船舶经营3个环节享受扶持政策。</w:t>
      </w:r>
    </w:p>
    <w:p w14:paraId="768896E3" w14:textId="77777777" w:rsidR="00000000" w:rsidRDefault="00000000">
      <w:pPr>
        <w:spacing w:line="57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4.“一本三基四梁八柱”战略框架：</w:t>
      </w:r>
      <w:r>
        <w:rPr>
          <w:rFonts w:ascii="FangSong_GB2312" w:eastAsia="FangSong_GB2312" w:hAnsi="FangSong_GB2312" w:cs="FangSong_GB2312" w:hint="eastAsia"/>
          <w:sz w:val="32"/>
          <w:szCs w:val="32"/>
        </w:rPr>
        <w:t>坚持以习近平总书记关于海南工作的系列重要讲话和指示批示精神为根本遵循，以《中共中央 国务院关于支持海南全面深化改革开放的指导意见》《海南自由贸易港建设总体方案》《中华人民共和国海南自由贸易港法》为制度基石，以全面深化改革开放试验区、国家生态文明试验区、国际旅游消费中心、国家重大战略服务保障区为目标定位，以政策环境、法治环境、营商环境、生态环境、经济发展体系、社会治理体系、风险防控体系、组织领导体系为稳固支撑。</w:t>
      </w:r>
    </w:p>
    <w:p w14:paraId="7111867C" w14:textId="77777777" w:rsidR="00000000" w:rsidRDefault="00000000">
      <w:pPr>
        <w:spacing w:line="57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5.“两个基地”“两个枢纽”“两个网络”：</w:t>
      </w:r>
      <w:r>
        <w:rPr>
          <w:rFonts w:ascii="FangSong_GB2312" w:eastAsia="FangSong_GB2312" w:hAnsi="FangSong_GB2312" w:cs="FangSong_GB2312" w:hint="eastAsia"/>
          <w:sz w:val="32"/>
          <w:szCs w:val="32"/>
        </w:rPr>
        <w:t>中国企业走向国际市场的总部基地和境外企业进入中国市场的总部基地，西部陆海新通道国际航运枢纽和面向太平洋、印度洋的航空区域门户枢纽，国际经贸合作网络和国际人文交流合作网络。</w:t>
      </w:r>
    </w:p>
    <w:p w14:paraId="48614559" w14:textId="77777777" w:rsidR="00000000" w:rsidRDefault="00000000">
      <w:pPr>
        <w:pStyle w:val="Footer"/>
        <w:spacing w:line="570" w:lineRule="exact"/>
        <w:ind w:firstLineChars="200" w:firstLine="650"/>
        <w:jc w:val="both"/>
        <w:rPr>
          <w:rFonts w:eastAsia="FangSong_GB2312" w:hint="eastAsia"/>
          <w:sz w:val="32"/>
          <w:szCs w:val="32"/>
        </w:rPr>
      </w:pPr>
      <w:r>
        <w:rPr>
          <w:rFonts w:ascii="FangSong_GB2312" w:eastAsia="FangSong_GB2312" w:hAnsi="FangSong_GB2312" w:cs="FangSong_GB2312" w:hint="eastAsia"/>
          <w:b/>
          <w:bCs/>
          <w:sz w:val="32"/>
          <w:szCs w:val="32"/>
        </w:rPr>
        <w:t>6.海南1234出行交通圈：</w:t>
      </w:r>
      <w:r>
        <w:rPr>
          <w:rFonts w:ascii="FangSong_GB2312" w:eastAsia="FangSong_GB2312" w:hAnsi="FangSong_GB2312" w:cs="FangSong_GB2312" w:hint="eastAsia"/>
          <w:sz w:val="32"/>
          <w:szCs w:val="32"/>
        </w:rPr>
        <w:t>海口经济圈、三亚经济圈、儋</w:t>
      </w:r>
      <w:r>
        <w:rPr>
          <w:rFonts w:ascii="FangSong_GB2312" w:eastAsia="FangSong_GB2312" w:hAnsi="FangSong_GB2312" w:cs="FangSong_GB2312" w:hint="eastAsia"/>
          <w:sz w:val="32"/>
          <w:szCs w:val="32"/>
        </w:rPr>
        <w:lastRenderedPageBreak/>
        <w:t>洋经济圈1小时以内通勤，海口、三亚等主要城市2小时通达全域，3小时畅行全岛，4小时基本通达全国主要城市及东南亚城市。</w:t>
      </w:r>
    </w:p>
    <w:p w14:paraId="56AE3C60" w14:textId="77777777" w:rsidR="00000000" w:rsidRDefault="00000000">
      <w:pPr>
        <w:spacing w:line="57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7.三核两网五环四通道：</w:t>
      </w:r>
      <w:r>
        <w:rPr>
          <w:rFonts w:ascii="FangSong_GB2312" w:eastAsia="FangSong_GB2312" w:hAnsi="FangSong_GB2312" w:cs="FangSong_GB2312" w:hint="eastAsia"/>
          <w:sz w:val="32"/>
          <w:szCs w:val="32"/>
        </w:rPr>
        <w:t>《海南省综合立体交通网规划纲要》提出构建“三核两网五环四通道”综合立体交通网主骨架。其中，“三核”指海口、三亚、洋浦三大衔接国内国际双循环门户枢纽；“两网”为畅联国际国内的海运、航空航线网络；“五环”包含高速铁路环线、高速公路环线、普通国道环线、环岛旅游公路、水上环线；“四通道”分别为北部文昌至临高综合通道、中部万宁至儋州综合通道、南部陵水至东方综合通道、中部纵向海口至三亚综合通道。</w:t>
      </w:r>
    </w:p>
    <w:p w14:paraId="754F0EEE" w14:textId="77777777" w:rsidR="00000000" w:rsidRDefault="00000000">
      <w:pPr>
        <w:pStyle w:val="Footer"/>
        <w:spacing w:line="570" w:lineRule="exact"/>
        <w:ind w:firstLineChars="200" w:firstLine="650"/>
        <w:jc w:val="both"/>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8.两圈一带：</w:t>
      </w:r>
      <w:r>
        <w:rPr>
          <w:rFonts w:ascii="FangSong_GB2312" w:eastAsia="FangSong_GB2312" w:hAnsi="FangSong_GB2312" w:cs="FangSong_GB2312" w:hint="eastAsia"/>
          <w:sz w:val="32"/>
          <w:szCs w:val="32"/>
        </w:rPr>
        <w:t>4小时飞行经济圈为打造至香港、新加坡、曼谷的航空快线通道，加密至金边、胡志明、雅加达、仰光等首都和东南亚中心城市航线，实现RCEP成员国家全面通达。8小时飞行经济圈为稳定联通澳新市场，提升莫斯科等俄语地区旅游客源城市航线航班厚度，有序开拓中西亚航线网络。提升“一带一路”共建国家联系，初期通过国内串飞等方式实现与纽约、伦敦、巴黎等全球主要中心城市航线网络衔接，稳步实现至中东、北非、欧洲等各大经济板块的直航联通。</w:t>
      </w:r>
    </w:p>
    <w:p w14:paraId="74FCBB6A" w14:textId="77777777" w:rsidR="00000000" w:rsidRDefault="00000000">
      <w:pPr>
        <w:pStyle w:val="Index5"/>
        <w:spacing w:line="570" w:lineRule="exact"/>
        <w:ind w:left="0"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9.“四大”中转扇面：</w:t>
      </w:r>
      <w:r>
        <w:rPr>
          <w:rFonts w:ascii="FangSong_GB2312" w:eastAsia="FangSong_GB2312" w:hAnsi="FangSong_GB2312" w:cs="FangSong_GB2312" w:hint="eastAsia"/>
          <w:sz w:val="32"/>
          <w:szCs w:val="32"/>
        </w:rPr>
        <w:t>构建东北亚、俄罗斯经海口至东南亚、澳新通路；南亚经海口至澳新、东南亚通路；内地经海口至澳新、东南亚通路；同步串飞国内城市至伦敦、巴黎等欧美一线城市航点，打造欧美经国内城市、海口至东南亚、澳新通</w:t>
      </w:r>
      <w:r>
        <w:rPr>
          <w:rFonts w:ascii="FangSong_GB2312" w:eastAsia="FangSong_GB2312" w:hAnsi="FangSong_GB2312" w:cs="FangSong_GB2312" w:hint="eastAsia"/>
          <w:sz w:val="32"/>
          <w:szCs w:val="32"/>
        </w:rPr>
        <w:lastRenderedPageBreak/>
        <w:t>路。</w:t>
      </w:r>
    </w:p>
    <w:p w14:paraId="1EAED48F" w14:textId="77777777" w:rsidR="00000000" w:rsidRDefault="00000000">
      <w:pPr>
        <w:spacing w:line="57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10.多网融合项目建设：</w:t>
      </w:r>
      <w:r>
        <w:rPr>
          <w:rFonts w:ascii="FangSong_GB2312" w:eastAsia="FangSong_GB2312" w:hAnsi="FangSong_GB2312" w:cs="FangSong_GB2312" w:hint="eastAsia"/>
          <w:sz w:val="32"/>
          <w:szCs w:val="32"/>
        </w:rPr>
        <w:t>以公路为骨架同步推进水网、电网、光网、气网协同集成建设。</w:t>
      </w:r>
    </w:p>
    <w:p w14:paraId="341D3FF3" w14:textId="77777777" w:rsidR="00000000" w:rsidRDefault="00000000">
      <w:pPr>
        <w:pStyle w:val="Index5"/>
        <w:spacing w:line="570" w:lineRule="exact"/>
        <w:ind w:left="0"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11.一岛两岸三融合：</w:t>
      </w:r>
      <w:r>
        <w:rPr>
          <w:rFonts w:ascii="FangSong_GB2312" w:eastAsia="FangSong_GB2312" w:hAnsi="FangSong_GB2312" w:cs="FangSong_GB2312" w:hint="eastAsia"/>
          <w:sz w:val="32"/>
          <w:szCs w:val="32"/>
        </w:rPr>
        <w:t>“一岛”即海南岛；“两岸”即琼州海峡两岸；“三融合”即数实融合、数智融合、产业融合。</w:t>
      </w:r>
    </w:p>
    <w:p w14:paraId="612B2A7D" w14:textId="77777777" w:rsidR="00000000" w:rsidRDefault="00000000">
      <w:pPr>
        <w:spacing w:line="570" w:lineRule="exact"/>
        <w:ind w:firstLineChars="200" w:firstLine="650"/>
        <w:rPr>
          <w:rFonts w:ascii="FangSong_GB2312" w:eastAsia="FangSong_GB2312" w:hAnsi="FangSong_GB2312" w:cs="FangSong_GB2312" w:hint="eastAsia"/>
          <w:sz w:val="32"/>
          <w:szCs w:val="32"/>
        </w:rPr>
      </w:pPr>
      <w:r>
        <w:rPr>
          <w:rFonts w:ascii="FangSong_GB2312" w:eastAsia="FangSong_GB2312" w:hAnsi="FangSong_GB2312" w:cs="FangSong_GB2312" w:hint="eastAsia"/>
          <w:b/>
          <w:bCs/>
          <w:sz w:val="32"/>
          <w:szCs w:val="32"/>
        </w:rPr>
        <w:t>12.“45432”现代化产业体系：</w:t>
      </w:r>
      <w:r>
        <w:rPr>
          <w:rFonts w:ascii="FangSong_GB2312" w:eastAsia="FangSong_GB2312" w:hAnsi="FangSong_GB2312" w:cs="FangSong_GB2312" w:hint="eastAsia"/>
          <w:sz w:val="32"/>
          <w:szCs w:val="32"/>
        </w:rPr>
        <w:t>“4”即推动四大主导产业（旅游业、现代服务业、高新技术产业和热带特色高效农业）补链延链、优化升级；“5”即“五向图强”（向种图强、向海图强、向天图强、向绿图强、向数图强）打造新质生产力重要实践地；“4”即创新发展生物制造、氢能、脑机接口、具身智能等“四新”未来产业；“3”即扎实做好免税购物、医疗、教育“三篇消费文章”；“2”即建设人才荟萃之岛、技术创新之岛。</w:t>
      </w:r>
    </w:p>
    <w:p w14:paraId="5009D5C0" w14:textId="77777777" w:rsidR="00231782" w:rsidRDefault="00000000">
      <w:pPr>
        <w:pStyle w:val="Footer"/>
        <w:spacing w:line="570" w:lineRule="exact"/>
        <w:ind w:firstLineChars="200" w:firstLine="650"/>
        <w:jc w:val="both"/>
        <w:rPr>
          <w:rFonts w:cs="Times New Roman"/>
          <w:sz w:val="32"/>
          <w:szCs w:val="32"/>
        </w:rPr>
      </w:pPr>
      <w:r>
        <w:rPr>
          <w:rFonts w:ascii="FangSong_GB2312" w:eastAsia="FangSong_GB2312" w:hAnsi="FangSong_GB2312" w:cs="FangSong_GB2312" w:hint="eastAsia"/>
          <w:b/>
          <w:bCs/>
          <w:sz w:val="32"/>
          <w:szCs w:val="32"/>
        </w:rPr>
        <w:t>13.第三、四、五、七航权政策：</w:t>
      </w:r>
      <w:r>
        <w:rPr>
          <w:rFonts w:ascii="FangSong_GB2312" w:eastAsia="FangSong_GB2312" w:hAnsi="FangSong_GB2312" w:cs="FangSong_GB2312" w:hint="eastAsia"/>
          <w:sz w:val="32"/>
          <w:szCs w:val="32"/>
        </w:rPr>
        <w:t>第三航权即目的地下客权，本国航空公司有权在协议国领土上卸下从本国装载的乘客、货物和邮件，但不能在该国装载客货返回本国。第四航权即目的地上客权，本国航空公司有权在协议国领土上装载前往本国的乘客、货物和邮件。第五航权即中间点权/延远权，本国航空公司在前往协议国时，可将第三国作为中转站点，在该站点上下客货后再继续飞往目的地，或从目的地返回时在第三国站点上下客货。第七航权即完全第三国运输权，本国航空公司完全在境外经营，在两个非本国的国家之间载运客货，而不返回本国。</w:t>
      </w:r>
      <w:bookmarkEnd w:id="3"/>
    </w:p>
    <w:sectPr w:rsidR="00231782">
      <w:headerReference w:type="default" r:id="rId9"/>
      <w:footerReference w:type="default" r:id="rId10"/>
      <w:type w:val="continuous"/>
      <w:pgSz w:w="11906" w:h="16838"/>
      <w:pgMar w:top="1644" w:right="1531" w:bottom="1644" w:left="1531" w:header="0" w:footer="1191" w:gutter="0"/>
      <w:cols w:space="720"/>
      <w:docGrid w:type="linesAndChars" w:linePitch="589" w:charSpace="10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6A17A" w14:textId="77777777" w:rsidR="00231782" w:rsidRDefault="00231782">
      <w:r>
        <w:separator/>
      </w:r>
    </w:p>
  </w:endnote>
  <w:endnote w:type="continuationSeparator" w:id="0">
    <w:p w14:paraId="0FE36CD7" w14:textId="77777777" w:rsidR="00231782" w:rsidRDefault="00231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黑体_GBK">
    <w:charset w:val="86"/>
    <w:family w:val="script"/>
    <w:pitch w:val="default"/>
    <w:sig w:usb0="00000001" w:usb1="08000000" w:usb2="00000000" w:usb3="00000000" w:csb0="00040000" w:csb1="00000000"/>
  </w:font>
  <w:font w:name="方正楷体_GBK">
    <w:charset w:val="86"/>
    <w:family w:val="script"/>
    <w:pitch w:val="default"/>
    <w:sig w:usb0="00000001" w:usb1="08000000" w:usb2="00000000" w:usb3="00000000" w:csb0="00040000" w:csb1="00000000"/>
  </w:font>
  <w:font w:name="FangSong_GB2312">
    <w:altName w:val="Microsoft YaHei"/>
    <w:charset w:val="86"/>
    <w:family w:val="auto"/>
    <w:pitch w:val="default"/>
    <w:sig w:usb0="00000001" w:usb1="080E0000" w:usb2="00000000" w:usb3="00000000" w:csb0="00040000" w:csb1="00000000"/>
  </w:font>
  <w:font w:name="DengXian Light">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KaiTi_GB2312">
    <w:altName w:val="Microsoft YaHei"/>
    <w:charset w:val="86"/>
    <w:family w:val="auto"/>
    <w:pitch w:val="default"/>
    <w:sig w:usb0="00000001" w:usb1="080E0000" w:usb2="00000000" w:usb3="00000000" w:csb0="00040000" w:csb1="00000000"/>
  </w:font>
  <w:font w:name="DengXian">
    <w:panose1 w:val="02010600030101010101"/>
    <w:charset w:val="86"/>
    <w:family w:val="auto"/>
    <w:pitch w:val="variable"/>
    <w:sig w:usb0="A00002BF" w:usb1="38CF7CFA" w:usb2="00000016" w:usb3="00000000" w:csb0="0004000F" w:csb1="00000000"/>
  </w:font>
  <w:font w:name="方正小标宋简体">
    <w:altName w:val="Microsoft YaHei"/>
    <w:charset w:val="86"/>
    <w:family w:val="script"/>
    <w:pitch w:val="default"/>
    <w:sig w:usb0="A00002BF" w:usb1="184F6CFA" w:usb2="00000012" w:usb3="00000000" w:csb0="00040001" w:csb1="00000000"/>
  </w:font>
  <w:font w:name="KaiTi">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6E53C" w14:textId="0A241FF8" w:rsidR="00000000" w:rsidRDefault="00325E89">
    <w:pPr>
      <w:snapToGrid w:val="0"/>
      <w:jc w:val="left"/>
      <w:rPr>
        <w:rFonts w:ascii="Calibri" w:hAnsi="Calibri" w:cs="Times New Roman"/>
        <w:sz w:val="18"/>
        <w:szCs w:val="24"/>
      </w:rPr>
    </w:pPr>
    <w:r>
      <w:rPr>
        <w:noProof/>
        <w:sz w:val="18"/>
      </w:rPr>
      <mc:AlternateContent>
        <mc:Choice Requires="wps">
          <w:drawing>
            <wp:anchor distT="0" distB="0" distL="114300" distR="114300" simplePos="0" relativeHeight="251658752" behindDoc="0" locked="0" layoutInCell="1" allowOverlap="1" wp14:anchorId="4E2D499E" wp14:editId="14F806A8">
              <wp:simplePos x="0" y="0"/>
              <wp:positionH relativeFrom="margin">
                <wp:align>outside</wp:align>
              </wp:positionH>
              <wp:positionV relativeFrom="paragraph">
                <wp:posOffset>0</wp:posOffset>
              </wp:positionV>
              <wp:extent cx="693420" cy="357505"/>
              <wp:effectExtent l="0" t="0" r="1905" b="4445"/>
              <wp:wrapNone/>
              <wp:docPr id="69746047" name="文本框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06B5A2A2" w14:textId="77777777" w:rsidR="00000000" w:rsidRDefault="00000000">
                          <w:pPr>
                            <w:pStyle w:val="Footer"/>
                            <w:rPr>
                              <w:sz w:val="28"/>
                              <w:szCs w:val="28"/>
                            </w:rPr>
                          </w:pPr>
                        </w:p>
                        <w:p w14:paraId="012CDA53" w14:textId="77777777" w:rsidR="00000000" w:rsidRDefault="00000000">
                          <w:pPr>
                            <w:pStyle w:val="Index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D499E" id="_x0000_t202" coordsize="21600,21600" o:spt="202" path="m,l,21600r21600,l21600,xe">
              <v:stroke joinstyle="miter"/>
              <v:path gradientshapeok="t" o:connecttype="rect"/>
            </v:shapetype>
            <v:shape id="文本框 23" o:spid="_x0000_s1026" type="#_x0000_t202" style="position:absolute;margin-left:3.4pt;margin-top:0;width:54.6pt;height:28.15pt;z-index:251658752;visibility:visible;mso-wrap-style:squar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" filled="f" stroked="f">
              <v:textbox inset="0,0,0,0">
                <w:txbxContent>
                  <w:p w14:paraId="06B5A2A2" w14:textId="77777777" w:rsidR="00000000" w:rsidRDefault="00000000">
                    <w:pPr>
                      <w:pStyle w:val="Footer"/>
                      <w:rPr>
                        <w:sz w:val="28"/>
                        <w:szCs w:val="28"/>
                      </w:rPr>
                    </w:pPr>
                  </w:p>
                  <w:p w14:paraId="012CDA53" w14:textId="77777777" w:rsidR="00000000" w:rsidRDefault="00000000">
                    <w:pPr>
                      <w:pStyle w:val="Index5"/>
                    </w:pPr>
                  </w:p>
                </w:txbxContent>
              </v:textbox>
              <w10:wrap anchorx="margin"/>
            </v:shape>
          </w:pict>
        </mc:Fallback>
      </mc:AlternateContent>
    </w:r>
    <w:r w:rsidR="00000000">
      <w:rPr>
        <w:rFonts w:ascii="Calibri" w:hAnsi="Calibri" w:cs="Times New Roman" w:hint="eastAsia"/>
        <w:sz w:val="18"/>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84B47" w14:textId="663A1EFC" w:rsidR="00000000" w:rsidRDefault="00325E89">
    <w:pPr>
      <w:snapToGrid w:val="0"/>
      <w:jc w:val="left"/>
      <w:rPr>
        <w:rFonts w:ascii="Calibri" w:hAnsi="Calibri" w:cs="Times New Roman"/>
        <w:sz w:val="18"/>
        <w:szCs w:val="24"/>
      </w:rPr>
    </w:pPr>
    <w:r>
      <w:rPr>
        <w:rFonts w:ascii="Calibri" w:hAnsi="Calibri" w:cs="Times New Roman"/>
        <w:noProof/>
        <w:sz w:val="18"/>
        <w:szCs w:val="24"/>
      </w:rPr>
      <mc:AlternateContent>
        <mc:Choice Requires="wps">
          <w:drawing>
            <wp:anchor distT="0" distB="0" distL="114300" distR="114300" simplePos="0" relativeHeight="251656704" behindDoc="0" locked="0" layoutInCell="1" allowOverlap="1" wp14:anchorId="3A6E0FC2" wp14:editId="65BEDD3B">
              <wp:simplePos x="0" y="0"/>
              <wp:positionH relativeFrom="margin">
                <wp:align>outside</wp:align>
              </wp:positionH>
              <wp:positionV relativeFrom="page">
                <wp:posOffset>9802495</wp:posOffset>
              </wp:positionV>
              <wp:extent cx="445135" cy="230505"/>
              <wp:effectExtent l="0" t="1270" r="0" b="0"/>
              <wp:wrapNone/>
              <wp:docPr id="825288610" name="文本框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765E14" w14:textId="77777777" w:rsidR="00000000" w:rsidRDefault="00000000">
                          <w:pPr>
                            <w:snapToGrid w:val="0"/>
                            <w:jc w:val="left"/>
                            <w:rPr>
                              <w:rFonts w:ascii="SimSun" w:hAnsi="SimSun" w:cs="SimSun"/>
                              <w:sz w:val="28"/>
                              <w:szCs w:val="28"/>
                            </w:rPr>
                          </w:pPr>
                          <w:r>
                            <w:rPr>
                              <w:rFonts w:ascii="SimSun" w:hAnsi="SimSun" w:cs="SimSun" w:hint="eastAsia"/>
                              <w:sz w:val="28"/>
                              <w:szCs w:val="28"/>
                            </w:rPr>
                            <w:t xml:space="preserve">- </w:t>
                          </w:r>
                          <w:r>
                            <w:rPr>
                              <w:rFonts w:ascii="SimSun" w:hAnsi="SimSun" w:cs="SimSun" w:hint="eastAsia"/>
                              <w:sz w:val="28"/>
                              <w:szCs w:val="28"/>
                            </w:rPr>
                            <w:fldChar w:fldCharType="begin"/>
                          </w:r>
                          <w:r>
                            <w:rPr>
                              <w:rFonts w:ascii="SimSun" w:hAnsi="SimSun" w:cs="SimSun" w:hint="eastAsia"/>
                              <w:sz w:val="28"/>
                              <w:szCs w:val="28"/>
                            </w:rPr>
                            <w:instrText xml:space="preserve"> PAGE  \* MERGEFORMAT </w:instrText>
                          </w:r>
                          <w:r>
                            <w:rPr>
                              <w:rFonts w:ascii="SimSun" w:hAnsi="SimSun" w:cs="SimSun" w:hint="eastAsia"/>
                              <w:sz w:val="28"/>
                              <w:szCs w:val="28"/>
                            </w:rPr>
                            <w:fldChar w:fldCharType="separate"/>
                          </w:r>
                          <w:r>
                            <w:rPr>
                              <w:rFonts w:ascii="SimSun" w:hAnsi="SimSun" w:cs="SimSun" w:hint="eastAsia"/>
                              <w:sz w:val="28"/>
                              <w:szCs w:val="28"/>
                            </w:rPr>
                            <w:t>I</w:t>
                          </w:r>
                          <w:r>
                            <w:rPr>
                              <w:rFonts w:ascii="SimSun" w:hAnsi="SimSun" w:cs="SimSun" w:hint="eastAsia"/>
                              <w:sz w:val="28"/>
                              <w:szCs w:val="28"/>
                            </w:rPr>
                            <w:fldChar w:fldCharType="end"/>
                          </w:r>
                          <w:r>
                            <w:rPr>
                              <w:rFonts w:ascii="SimSun" w:hAnsi="SimSun" w:cs="SimSun" w:hint="eastAsia"/>
                              <w:sz w:val="28"/>
                              <w:szCs w:val="2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6E0FC2" id="_x0000_t202" coordsize="21600,21600" o:spt="202" path="m,l,21600r21600,l21600,xe">
              <v:stroke joinstyle="miter"/>
              <v:path gradientshapeok="t" o:connecttype="rect"/>
            </v:shapetype>
            <v:shape id="文本框 1047" o:spid="_x0000_s1027" type="#_x0000_t202" style="position:absolute;margin-left:-16.15pt;margin-top:771.85pt;width:35.05pt;height:18.15pt;z-index:251656704;visibility:visible;mso-wrap-style:none;mso-width-percent:0;mso-height-percent:0;mso-wrap-distance-left:9pt;mso-wrap-distance-top:0;mso-wrap-distance-right:9pt;mso-wrap-distance-bottom:0;mso-position-horizontal:outsid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" filled="f" stroked="f">
              <v:textbox style="mso-fit-shape-to-text:t" inset="0,0,0,0">
                <w:txbxContent>
                  <w:p w14:paraId="5F765E14" w14:textId="77777777" w:rsidR="00000000" w:rsidRDefault="00000000">
                    <w:pPr>
                      <w:snapToGrid w:val="0"/>
                      <w:jc w:val="left"/>
                      <w:rPr>
                        <w:rFonts w:ascii="SimSun" w:hAnsi="SimSun" w:cs="SimSun"/>
                        <w:sz w:val="28"/>
                        <w:szCs w:val="28"/>
                      </w:rPr>
                    </w:pPr>
                    <w:r>
                      <w:rPr>
                        <w:rFonts w:ascii="SimSun" w:hAnsi="SimSun" w:cs="SimSun" w:hint="eastAsia"/>
                        <w:sz w:val="28"/>
                        <w:szCs w:val="28"/>
                      </w:rPr>
                      <w:t xml:space="preserve">- </w:t>
                    </w:r>
                    <w:r>
                      <w:rPr>
                        <w:rFonts w:ascii="SimSun" w:hAnsi="SimSun" w:cs="SimSun" w:hint="eastAsia"/>
                        <w:sz w:val="28"/>
                        <w:szCs w:val="28"/>
                      </w:rPr>
                      <w:fldChar w:fldCharType="begin"/>
                    </w:r>
                    <w:r>
                      <w:rPr>
                        <w:rFonts w:ascii="SimSun" w:hAnsi="SimSun" w:cs="SimSun" w:hint="eastAsia"/>
                        <w:sz w:val="28"/>
                        <w:szCs w:val="28"/>
                      </w:rPr>
                      <w:instrText xml:space="preserve"> PAGE  \* MERGEFORMAT </w:instrText>
                    </w:r>
                    <w:r>
                      <w:rPr>
                        <w:rFonts w:ascii="SimSun" w:hAnsi="SimSun" w:cs="SimSun" w:hint="eastAsia"/>
                        <w:sz w:val="28"/>
                        <w:szCs w:val="28"/>
                      </w:rPr>
                      <w:fldChar w:fldCharType="separate"/>
                    </w:r>
                    <w:r>
                      <w:rPr>
                        <w:rFonts w:ascii="SimSun" w:hAnsi="SimSun" w:cs="SimSun" w:hint="eastAsia"/>
                        <w:sz w:val="28"/>
                        <w:szCs w:val="28"/>
                      </w:rPr>
                      <w:t>I</w:t>
                    </w:r>
                    <w:r>
                      <w:rPr>
                        <w:rFonts w:ascii="SimSun" w:hAnsi="SimSun" w:cs="SimSun" w:hint="eastAsia"/>
                        <w:sz w:val="28"/>
                        <w:szCs w:val="28"/>
                      </w:rPr>
                      <w:fldChar w:fldCharType="end"/>
                    </w:r>
                    <w:r>
                      <w:rPr>
                        <w:rFonts w:ascii="SimSun" w:hAnsi="SimSun" w:cs="SimSun" w:hint="eastAsia"/>
                        <w:sz w:val="28"/>
                        <w:szCs w:val="28"/>
                      </w:rPr>
                      <w:t xml:space="preserve"> -</w:t>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27908" w14:textId="4AEC2F92" w:rsidR="00000000" w:rsidRDefault="00325E89">
    <w:pPr>
      <w:pStyle w:val="Footer"/>
    </w:pPr>
    <w:r>
      <w:rPr>
        <w:rFonts w:ascii="Calibri" w:hAnsi="Calibri" w:cs="Times New Roman"/>
        <w:noProof/>
        <w:szCs w:val="24"/>
      </w:rPr>
      <mc:AlternateContent>
        <mc:Choice Requires="wps">
          <w:drawing>
            <wp:anchor distT="0" distB="0" distL="114300" distR="114300" simplePos="0" relativeHeight="251657728" behindDoc="0" locked="0" layoutInCell="1" allowOverlap="1" wp14:anchorId="2B5F6BC1" wp14:editId="19757A94">
              <wp:simplePos x="0" y="0"/>
              <wp:positionH relativeFrom="margin">
                <wp:align>outside</wp:align>
              </wp:positionH>
              <wp:positionV relativeFrom="page">
                <wp:posOffset>9802495</wp:posOffset>
              </wp:positionV>
              <wp:extent cx="448310" cy="290195"/>
              <wp:effectExtent l="0" t="1270" r="0" b="3810"/>
              <wp:wrapNone/>
              <wp:docPr id="855358041" name="文本框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290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D7FCE8" w14:textId="77777777" w:rsidR="00000000" w:rsidRDefault="00000000">
                          <w:pPr>
                            <w:snapToGrid w:val="0"/>
                            <w:jc w:val="left"/>
                            <w:rPr>
                              <w:rFonts w:ascii="SimSun" w:hAnsi="SimSun" w:cs="SimSun"/>
                              <w:sz w:val="28"/>
                              <w:szCs w:val="28"/>
                            </w:rPr>
                          </w:pPr>
                          <w:r>
                            <w:rPr>
                              <w:rFonts w:ascii="SimSun" w:hAnsi="SimSun" w:cs="SimSun" w:hint="eastAsia"/>
                              <w:sz w:val="28"/>
                              <w:szCs w:val="28"/>
                            </w:rPr>
                            <w:t xml:space="preserve">- </w:t>
                          </w:r>
                          <w:r>
                            <w:rPr>
                              <w:rFonts w:ascii="SimSun" w:hAnsi="SimSun" w:cs="SimSun" w:hint="eastAsia"/>
                              <w:sz w:val="28"/>
                              <w:szCs w:val="28"/>
                            </w:rPr>
                            <w:fldChar w:fldCharType="begin"/>
                          </w:r>
                          <w:r>
                            <w:rPr>
                              <w:rFonts w:ascii="SimSun" w:hAnsi="SimSun" w:cs="SimSun" w:hint="eastAsia"/>
                              <w:sz w:val="28"/>
                              <w:szCs w:val="28"/>
                            </w:rPr>
                            <w:instrText xml:space="preserve"> PAGE  \* MERGEFORMAT </w:instrText>
                          </w:r>
                          <w:r>
                            <w:rPr>
                              <w:rFonts w:ascii="SimSun" w:hAnsi="SimSun" w:cs="SimSun" w:hint="eastAsia"/>
                              <w:sz w:val="28"/>
                              <w:szCs w:val="28"/>
                            </w:rPr>
                            <w:fldChar w:fldCharType="separate"/>
                          </w:r>
                          <w:r>
                            <w:rPr>
                              <w:rFonts w:ascii="SimSun" w:hAnsi="SimSun" w:cs="SimSun" w:hint="eastAsia"/>
                              <w:sz w:val="28"/>
                              <w:szCs w:val="28"/>
                            </w:rPr>
                            <w:t>I</w:t>
                          </w:r>
                          <w:r>
                            <w:rPr>
                              <w:rFonts w:ascii="SimSun" w:hAnsi="SimSun" w:cs="SimSun" w:hint="eastAsia"/>
                              <w:sz w:val="28"/>
                              <w:szCs w:val="28"/>
                            </w:rPr>
                            <w:fldChar w:fldCharType="end"/>
                          </w:r>
                          <w:r>
                            <w:rPr>
                              <w:rFonts w:ascii="SimSun" w:hAnsi="SimSun" w:cs="SimSun" w:hint="eastAsia"/>
                              <w:sz w:val="28"/>
                              <w:szCs w:val="2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F6BC1" id="_x0000_t202" coordsize="21600,21600" o:spt="202" path="m,l,21600r21600,l21600,xe">
              <v:stroke joinstyle="miter"/>
              <v:path gradientshapeok="t" o:connecttype="rect"/>
            </v:shapetype>
            <v:shape id="_x0000_s1028" type="#_x0000_t202" style="position:absolute;margin-left:-15.9pt;margin-top:771.85pt;width:35.3pt;height:22.85pt;z-index:251657728;visibility:visible;mso-wrap-style:square;mso-width-percent:0;mso-height-percent:0;mso-wrap-distance-left:9pt;mso-wrap-distance-top:0;mso-wrap-distance-right:9pt;mso-wrap-distance-bottom:0;mso-position-horizontal:outsid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" filled="f" stroked="f">
              <v:textbox inset="0,0,0,0">
                <w:txbxContent>
                  <w:p w14:paraId="47D7FCE8" w14:textId="77777777" w:rsidR="00000000" w:rsidRDefault="00000000">
                    <w:pPr>
                      <w:snapToGrid w:val="0"/>
                      <w:jc w:val="left"/>
                      <w:rPr>
                        <w:rFonts w:ascii="SimSun" w:hAnsi="SimSun" w:cs="SimSun"/>
                        <w:sz w:val="28"/>
                        <w:szCs w:val="28"/>
                      </w:rPr>
                    </w:pPr>
                    <w:r>
                      <w:rPr>
                        <w:rFonts w:ascii="SimSun" w:hAnsi="SimSun" w:cs="SimSun" w:hint="eastAsia"/>
                        <w:sz w:val="28"/>
                        <w:szCs w:val="28"/>
                      </w:rPr>
                      <w:t xml:space="preserve">- </w:t>
                    </w:r>
                    <w:r>
                      <w:rPr>
                        <w:rFonts w:ascii="SimSun" w:hAnsi="SimSun" w:cs="SimSun" w:hint="eastAsia"/>
                        <w:sz w:val="28"/>
                        <w:szCs w:val="28"/>
                      </w:rPr>
                      <w:fldChar w:fldCharType="begin"/>
                    </w:r>
                    <w:r>
                      <w:rPr>
                        <w:rFonts w:ascii="SimSun" w:hAnsi="SimSun" w:cs="SimSun" w:hint="eastAsia"/>
                        <w:sz w:val="28"/>
                        <w:szCs w:val="28"/>
                      </w:rPr>
                      <w:instrText xml:space="preserve"> PAGE  \* MERGEFORMAT </w:instrText>
                    </w:r>
                    <w:r>
                      <w:rPr>
                        <w:rFonts w:ascii="SimSun" w:hAnsi="SimSun" w:cs="SimSun" w:hint="eastAsia"/>
                        <w:sz w:val="28"/>
                        <w:szCs w:val="28"/>
                      </w:rPr>
                      <w:fldChar w:fldCharType="separate"/>
                    </w:r>
                    <w:r>
                      <w:rPr>
                        <w:rFonts w:ascii="SimSun" w:hAnsi="SimSun" w:cs="SimSun" w:hint="eastAsia"/>
                        <w:sz w:val="28"/>
                        <w:szCs w:val="28"/>
                      </w:rPr>
                      <w:t>I</w:t>
                    </w:r>
                    <w:r>
                      <w:rPr>
                        <w:rFonts w:ascii="SimSun" w:hAnsi="SimSun" w:cs="SimSun" w:hint="eastAsia"/>
                        <w:sz w:val="28"/>
                        <w:szCs w:val="28"/>
                      </w:rPr>
                      <w:fldChar w:fldCharType="end"/>
                    </w:r>
                    <w:r>
                      <w:rPr>
                        <w:rFonts w:ascii="SimSun" w:hAnsi="SimSun" w:cs="SimSun" w:hint="eastAsia"/>
                        <w:sz w:val="28"/>
                        <w:szCs w:val="28"/>
                      </w:rPr>
                      <w:t xml:space="preserve"> -</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A0ACD" w14:textId="77777777" w:rsidR="00231782" w:rsidRDefault="00231782">
      <w:r>
        <w:separator/>
      </w:r>
    </w:p>
  </w:footnote>
  <w:footnote w:type="continuationSeparator" w:id="0">
    <w:p w14:paraId="43B3058F" w14:textId="77777777" w:rsidR="00231782" w:rsidRDefault="00231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044F6" w14:textId="77777777" w:rsidR="00000000" w:rsidRDefault="00000000">
    <w:pPr>
      <w:tabs>
        <w:tab w:val="center" w:pos="4153"/>
        <w:tab w:val="right" w:pos="8306"/>
      </w:tabs>
      <w:snapToGrid w:val="0"/>
      <w:spacing w:line="588" w:lineRule="exact"/>
      <w:ind w:firstLineChars="200" w:firstLine="360"/>
      <w:rPr>
        <w:rFonts w:eastAsia="FangSong_GB2312" w:cs="Times New Roman"/>
        <w:sz w:val="18"/>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E2DC" w14:textId="77777777" w:rsidR="00000000" w:rsidRDefault="00000000">
    <w:pPr>
      <w:pStyle w:val="Header"/>
      <w:ind w:firstLine="360"/>
      <w:rPr>
        <w:rFonts w:eastAsia="FangSong_GB23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361"/>
  <w:drawingGridHorizontalSpacing w:val="108"/>
  <w:drawingGridVerticalSpacing w:val="290"/>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B50BA"/>
    <w:rsid w:val="001E2F52"/>
    <w:rsid w:val="00231782"/>
    <w:rsid w:val="00325E89"/>
    <w:rsid w:val="00927898"/>
    <w:rsid w:val="00CC36D8"/>
    <w:rsid w:val="028247F4"/>
    <w:rsid w:val="028D51BD"/>
    <w:rsid w:val="02C246E1"/>
    <w:rsid w:val="032C08A5"/>
    <w:rsid w:val="03B73930"/>
    <w:rsid w:val="03FD7454"/>
    <w:rsid w:val="04B85E33"/>
    <w:rsid w:val="050104C5"/>
    <w:rsid w:val="050D64D6"/>
    <w:rsid w:val="07383946"/>
    <w:rsid w:val="07F17513"/>
    <w:rsid w:val="08877576"/>
    <w:rsid w:val="09C543C7"/>
    <w:rsid w:val="09CE4B9B"/>
    <w:rsid w:val="09E6360C"/>
    <w:rsid w:val="0A23652E"/>
    <w:rsid w:val="0A4A1C71"/>
    <w:rsid w:val="0B6B7068"/>
    <w:rsid w:val="0B9C18BA"/>
    <w:rsid w:val="0BDC0334"/>
    <w:rsid w:val="0CDB5522"/>
    <w:rsid w:val="0D5A0848"/>
    <w:rsid w:val="0DA9425F"/>
    <w:rsid w:val="0E8F35FC"/>
    <w:rsid w:val="0F27086A"/>
    <w:rsid w:val="0FA1450C"/>
    <w:rsid w:val="0FC1323B"/>
    <w:rsid w:val="0FF67233"/>
    <w:rsid w:val="104D3E92"/>
    <w:rsid w:val="10E00EC0"/>
    <w:rsid w:val="10EC33DF"/>
    <w:rsid w:val="110E4E87"/>
    <w:rsid w:val="11551F0C"/>
    <w:rsid w:val="11B20C52"/>
    <w:rsid w:val="11B8789F"/>
    <w:rsid w:val="11CE2F2D"/>
    <w:rsid w:val="124C2311"/>
    <w:rsid w:val="131961E1"/>
    <w:rsid w:val="13403EA3"/>
    <w:rsid w:val="13855328"/>
    <w:rsid w:val="14866115"/>
    <w:rsid w:val="16685DA4"/>
    <w:rsid w:val="16E71D63"/>
    <w:rsid w:val="170148CE"/>
    <w:rsid w:val="17606E66"/>
    <w:rsid w:val="17797A0F"/>
    <w:rsid w:val="177D78FF"/>
    <w:rsid w:val="17A91C0B"/>
    <w:rsid w:val="17BE0504"/>
    <w:rsid w:val="17CA6515"/>
    <w:rsid w:val="17E347D2"/>
    <w:rsid w:val="184473FE"/>
    <w:rsid w:val="19962C07"/>
    <w:rsid w:val="19BF1D38"/>
    <w:rsid w:val="1A1A60A6"/>
    <w:rsid w:val="1A3D2953"/>
    <w:rsid w:val="1A9D69B7"/>
    <w:rsid w:val="1B013245"/>
    <w:rsid w:val="1B446693"/>
    <w:rsid w:val="1BA90A6F"/>
    <w:rsid w:val="1BEC025E"/>
    <w:rsid w:val="1BF165F4"/>
    <w:rsid w:val="1C0B3A49"/>
    <w:rsid w:val="1C3F2ADC"/>
    <w:rsid w:val="1C76493F"/>
    <w:rsid w:val="1D1F2F14"/>
    <w:rsid w:val="1D906843"/>
    <w:rsid w:val="1E457A4B"/>
    <w:rsid w:val="1EB420E2"/>
    <w:rsid w:val="1EDF61A9"/>
    <w:rsid w:val="1F4D30A8"/>
    <w:rsid w:val="1F7929AE"/>
    <w:rsid w:val="20D6616D"/>
    <w:rsid w:val="218A246D"/>
    <w:rsid w:val="21A06EBB"/>
    <w:rsid w:val="21A4203E"/>
    <w:rsid w:val="22902F40"/>
    <w:rsid w:val="22E1393F"/>
    <w:rsid w:val="237A63C1"/>
    <w:rsid w:val="23E36BD0"/>
    <w:rsid w:val="242B0679"/>
    <w:rsid w:val="243275FD"/>
    <w:rsid w:val="24460F74"/>
    <w:rsid w:val="24EB5FDE"/>
    <w:rsid w:val="25733F7D"/>
    <w:rsid w:val="260B2287"/>
    <w:rsid w:val="26780D82"/>
    <w:rsid w:val="26DDA270"/>
    <w:rsid w:val="27C9C7B9"/>
    <w:rsid w:val="27D24E61"/>
    <w:rsid w:val="27DB6F76"/>
    <w:rsid w:val="28631244"/>
    <w:rsid w:val="286533D6"/>
    <w:rsid w:val="288539B0"/>
    <w:rsid w:val="2935022C"/>
    <w:rsid w:val="295703E0"/>
    <w:rsid w:val="2A7C0543"/>
    <w:rsid w:val="2A850C55"/>
    <w:rsid w:val="2B151983"/>
    <w:rsid w:val="2D9A49DA"/>
    <w:rsid w:val="2DAE12FF"/>
    <w:rsid w:val="2DCF3A66"/>
    <w:rsid w:val="2E056A84"/>
    <w:rsid w:val="2E402DEC"/>
    <w:rsid w:val="2E5D3C92"/>
    <w:rsid w:val="2E6D0438"/>
    <w:rsid w:val="2E7940B8"/>
    <w:rsid w:val="2F3017FB"/>
    <w:rsid w:val="2F6D207B"/>
    <w:rsid w:val="2F6EF455"/>
    <w:rsid w:val="2FDF5AEB"/>
    <w:rsid w:val="309C2C4B"/>
    <w:rsid w:val="30C2090D"/>
    <w:rsid w:val="31696B1C"/>
    <w:rsid w:val="33154745"/>
    <w:rsid w:val="33EB345C"/>
    <w:rsid w:val="33EF4F96"/>
    <w:rsid w:val="34232ADA"/>
    <w:rsid w:val="34E55713"/>
    <w:rsid w:val="34F26530"/>
    <w:rsid w:val="3519463D"/>
    <w:rsid w:val="352B2DCA"/>
    <w:rsid w:val="35C032BE"/>
    <w:rsid w:val="36125F99"/>
    <w:rsid w:val="363E4D39"/>
    <w:rsid w:val="37A8202C"/>
    <w:rsid w:val="37AF5F03"/>
    <w:rsid w:val="37D2477E"/>
    <w:rsid w:val="383B086B"/>
    <w:rsid w:val="38A25984"/>
    <w:rsid w:val="392B54D9"/>
    <w:rsid w:val="39B169C2"/>
    <w:rsid w:val="3A101691"/>
    <w:rsid w:val="3A462B48"/>
    <w:rsid w:val="3BEE2E21"/>
    <w:rsid w:val="3CEB0F17"/>
    <w:rsid w:val="3D221248"/>
    <w:rsid w:val="3D591AA5"/>
    <w:rsid w:val="3D712EC0"/>
    <w:rsid w:val="3D98669F"/>
    <w:rsid w:val="3DF9CAF6"/>
    <w:rsid w:val="3E2B25E1"/>
    <w:rsid w:val="3E7521DD"/>
    <w:rsid w:val="3EBBA7C7"/>
    <w:rsid w:val="3F13697E"/>
    <w:rsid w:val="3F36A420"/>
    <w:rsid w:val="3F3F7077"/>
    <w:rsid w:val="3F777BF5"/>
    <w:rsid w:val="3F8A64BB"/>
    <w:rsid w:val="404E189A"/>
    <w:rsid w:val="40AA4C10"/>
    <w:rsid w:val="40C06849"/>
    <w:rsid w:val="40FD2E2B"/>
    <w:rsid w:val="41762BA4"/>
    <w:rsid w:val="41D9C4EF"/>
    <w:rsid w:val="428B1219"/>
    <w:rsid w:val="4341424F"/>
    <w:rsid w:val="43505BFE"/>
    <w:rsid w:val="443C2A7C"/>
    <w:rsid w:val="45A27A61"/>
    <w:rsid w:val="45AB22A5"/>
    <w:rsid w:val="45F054C6"/>
    <w:rsid w:val="4673517D"/>
    <w:rsid w:val="46DA4E4A"/>
    <w:rsid w:val="46FF7608"/>
    <w:rsid w:val="479C199D"/>
    <w:rsid w:val="48B82823"/>
    <w:rsid w:val="4A3B6D2F"/>
    <w:rsid w:val="4A9B15A2"/>
    <w:rsid w:val="4B315D69"/>
    <w:rsid w:val="4BF5A180"/>
    <w:rsid w:val="4BFE1C3A"/>
    <w:rsid w:val="4E736DB7"/>
    <w:rsid w:val="4E917D1A"/>
    <w:rsid w:val="4ECF7C89"/>
    <w:rsid w:val="4EEED9F3"/>
    <w:rsid w:val="4F5706B7"/>
    <w:rsid w:val="4F7EBD4F"/>
    <w:rsid w:val="4FE66616"/>
    <w:rsid w:val="4FEE8B41"/>
    <w:rsid w:val="4FEF06FA"/>
    <w:rsid w:val="50665663"/>
    <w:rsid w:val="50CC6933"/>
    <w:rsid w:val="515B061E"/>
    <w:rsid w:val="51A5250F"/>
    <w:rsid w:val="51E5201C"/>
    <w:rsid w:val="527FD534"/>
    <w:rsid w:val="52B5267D"/>
    <w:rsid w:val="53427D28"/>
    <w:rsid w:val="535B7B01"/>
    <w:rsid w:val="54047DE6"/>
    <w:rsid w:val="54456651"/>
    <w:rsid w:val="55615F47"/>
    <w:rsid w:val="564F7AAB"/>
    <w:rsid w:val="569F0646"/>
    <w:rsid w:val="56C86370"/>
    <w:rsid w:val="56EF1D4B"/>
    <w:rsid w:val="57166E96"/>
    <w:rsid w:val="57F7A9B3"/>
    <w:rsid w:val="5867FFD8"/>
    <w:rsid w:val="597E7C17"/>
    <w:rsid w:val="59EE207D"/>
    <w:rsid w:val="5A6177E9"/>
    <w:rsid w:val="5C4A4E97"/>
    <w:rsid w:val="5C4B14C9"/>
    <w:rsid w:val="5D7673E3"/>
    <w:rsid w:val="5D7E4EDD"/>
    <w:rsid w:val="5DD56503"/>
    <w:rsid w:val="5DFE5C52"/>
    <w:rsid w:val="5E374E9F"/>
    <w:rsid w:val="5E4332B3"/>
    <w:rsid w:val="5EA6BA26"/>
    <w:rsid w:val="5F6D17C7"/>
    <w:rsid w:val="5F77C42D"/>
    <w:rsid w:val="5F7CD6E0"/>
    <w:rsid w:val="5FBD60EF"/>
    <w:rsid w:val="5FFD9603"/>
    <w:rsid w:val="6000368B"/>
    <w:rsid w:val="614F5308"/>
    <w:rsid w:val="615147C1"/>
    <w:rsid w:val="626B4BBE"/>
    <w:rsid w:val="62731A3A"/>
    <w:rsid w:val="63D5279B"/>
    <w:rsid w:val="646C35AE"/>
    <w:rsid w:val="64775533"/>
    <w:rsid w:val="64D96C80"/>
    <w:rsid w:val="650B0753"/>
    <w:rsid w:val="65297A59"/>
    <w:rsid w:val="654E0491"/>
    <w:rsid w:val="65B221E6"/>
    <w:rsid w:val="65D84624"/>
    <w:rsid w:val="667EBEF6"/>
    <w:rsid w:val="667F60B7"/>
    <w:rsid w:val="67026690"/>
    <w:rsid w:val="687D41D6"/>
    <w:rsid w:val="68B327D3"/>
    <w:rsid w:val="695C795E"/>
    <w:rsid w:val="6977B6E9"/>
    <w:rsid w:val="69EA172A"/>
    <w:rsid w:val="6AB81F5F"/>
    <w:rsid w:val="6BF00B4C"/>
    <w:rsid w:val="6C1B3E73"/>
    <w:rsid w:val="6C7A7686"/>
    <w:rsid w:val="6CA01AC4"/>
    <w:rsid w:val="6CC232FE"/>
    <w:rsid w:val="6CFD7C5F"/>
    <w:rsid w:val="6D7A7704"/>
    <w:rsid w:val="6DF60404"/>
    <w:rsid w:val="6E7B2702"/>
    <w:rsid w:val="6EF39C1F"/>
    <w:rsid w:val="6EFBF607"/>
    <w:rsid w:val="6F2F75B1"/>
    <w:rsid w:val="6F3D441A"/>
    <w:rsid w:val="6F531017"/>
    <w:rsid w:val="6F775592"/>
    <w:rsid w:val="6FAF5D25"/>
    <w:rsid w:val="6FD93981"/>
    <w:rsid w:val="6FDB4C0F"/>
    <w:rsid w:val="6FDD5411"/>
    <w:rsid w:val="6FECBD05"/>
    <w:rsid w:val="6FFDBB5A"/>
    <w:rsid w:val="71D84D27"/>
    <w:rsid w:val="71FF8707"/>
    <w:rsid w:val="7219382F"/>
    <w:rsid w:val="722A535E"/>
    <w:rsid w:val="72B34E05"/>
    <w:rsid w:val="72CE7A39"/>
    <w:rsid w:val="72F8122F"/>
    <w:rsid w:val="73DC25B2"/>
    <w:rsid w:val="74C958A7"/>
    <w:rsid w:val="755C0275"/>
    <w:rsid w:val="75971777"/>
    <w:rsid w:val="75FCC48B"/>
    <w:rsid w:val="760133A5"/>
    <w:rsid w:val="767BD971"/>
    <w:rsid w:val="76A61F99"/>
    <w:rsid w:val="775E6B64"/>
    <w:rsid w:val="776A0B8D"/>
    <w:rsid w:val="776E4AF7"/>
    <w:rsid w:val="777EBC42"/>
    <w:rsid w:val="77BC7698"/>
    <w:rsid w:val="77CDDFC9"/>
    <w:rsid w:val="77F9A41A"/>
    <w:rsid w:val="78687017"/>
    <w:rsid w:val="787E3DA2"/>
    <w:rsid w:val="78F227FE"/>
    <w:rsid w:val="790799E2"/>
    <w:rsid w:val="79352EE7"/>
    <w:rsid w:val="797F114D"/>
    <w:rsid w:val="79B97D52"/>
    <w:rsid w:val="79ED6E4F"/>
    <w:rsid w:val="79F72FA5"/>
    <w:rsid w:val="7A5B77D6"/>
    <w:rsid w:val="7AC46E76"/>
    <w:rsid w:val="7B569A24"/>
    <w:rsid w:val="7B9EC3AC"/>
    <w:rsid w:val="7BEBAE16"/>
    <w:rsid w:val="7BF21F5F"/>
    <w:rsid w:val="7BFF3189"/>
    <w:rsid w:val="7CFFD138"/>
    <w:rsid w:val="7D31371E"/>
    <w:rsid w:val="7D9ECD87"/>
    <w:rsid w:val="7DEEAE29"/>
    <w:rsid w:val="7DEF87A4"/>
    <w:rsid w:val="7DEFD599"/>
    <w:rsid w:val="7DF725B5"/>
    <w:rsid w:val="7DFB330F"/>
    <w:rsid w:val="7E7EBCD0"/>
    <w:rsid w:val="7EBA8860"/>
    <w:rsid w:val="7EE32F15"/>
    <w:rsid w:val="7EE926ED"/>
    <w:rsid w:val="7EEB3996"/>
    <w:rsid w:val="7F3044B7"/>
    <w:rsid w:val="7F370743"/>
    <w:rsid w:val="7F7FC336"/>
    <w:rsid w:val="7FB31BDD"/>
    <w:rsid w:val="7FDDDEAB"/>
    <w:rsid w:val="7FE0BE1F"/>
    <w:rsid w:val="7FE74894"/>
    <w:rsid w:val="7FF1219D"/>
    <w:rsid w:val="7FF24575"/>
    <w:rsid w:val="7FF540E4"/>
    <w:rsid w:val="7FF7BE1E"/>
    <w:rsid w:val="7FFD796E"/>
    <w:rsid w:val="8FD77D14"/>
    <w:rsid w:val="9BF2F5DD"/>
    <w:rsid w:val="9EFFF384"/>
    <w:rsid w:val="9F7FFF69"/>
    <w:rsid w:val="A5E78A54"/>
    <w:rsid w:val="A5FFAA2A"/>
    <w:rsid w:val="A73D1804"/>
    <w:rsid w:val="A7B7EF0C"/>
    <w:rsid w:val="A7FEB131"/>
    <w:rsid w:val="AD6F8695"/>
    <w:rsid w:val="AFBCC826"/>
    <w:rsid w:val="AFE1EAFD"/>
    <w:rsid w:val="AFEFA688"/>
    <w:rsid w:val="B343A598"/>
    <w:rsid w:val="B39776AA"/>
    <w:rsid w:val="B5D521F0"/>
    <w:rsid w:val="B7FE0927"/>
    <w:rsid w:val="BA3F4DA8"/>
    <w:rsid w:val="BD75A93C"/>
    <w:rsid w:val="BDF76DFF"/>
    <w:rsid w:val="BE7502D6"/>
    <w:rsid w:val="BEBF4802"/>
    <w:rsid w:val="BEFC7A20"/>
    <w:rsid w:val="BF5F40FE"/>
    <w:rsid w:val="C36A1724"/>
    <w:rsid w:val="CE3B32D0"/>
    <w:rsid w:val="CF5B9342"/>
    <w:rsid w:val="CFD9B76A"/>
    <w:rsid w:val="D73FB497"/>
    <w:rsid w:val="D7F74EBC"/>
    <w:rsid w:val="D9087F33"/>
    <w:rsid w:val="D95F60D0"/>
    <w:rsid w:val="D9AB71A0"/>
    <w:rsid w:val="DAE82DCE"/>
    <w:rsid w:val="DB3FE0A3"/>
    <w:rsid w:val="DD6FEEEB"/>
    <w:rsid w:val="DDFB296A"/>
    <w:rsid w:val="DDFE8842"/>
    <w:rsid w:val="DEAF5481"/>
    <w:rsid w:val="DF6FB093"/>
    <w:rsid w:val="DFBF22F4"/>
    <w:rsid w:val="DFCB7B52"/>
    <w:rsid w:val="DFFFAB76"/>
    <w:rsid w:val="E1A7A97A"/>
    <w:rsid w:val="E37F18A3"/>
    <w:rsid w:val="E37FFDC1"/>
    <w:rsid w:val="E4EF39AA"/>
    <w:rsid w:val="E5F7F073"/>
    <w:rsid w:val="E66F410F"/>
    <w:rsid w:val="E7FB6C6D"/>
    <w:rsid w:val="E9BF104C"/>
    <w:rsid w:val="EBFEA4BF"/>
    <w:rsid w:val="EBFF324B"/>
    <w:rsid w:val="ECFF2C85"/>
    <w:rsid w:val="ED7FB31C"/>
    <w:rsid w:val="EE4E621F"/>
    <w:rsid w:val="EED32588"/>
    <w:rsid w:val="EEFFA0CA"/>
    <w:rsid w:val="EF3B3D77"/>
    <w:rsid w:val="EF6F7461"/>
    <w:rsid w:val="EFFBC68E"/>
    <w:rsid w:val="EFFE5145"/>
    <w:rsid w:val="F2F58561"/>
    <w:rsid w:val="F37B83B3"/>
    <w:rsid w:val="F38F69EA"/>
    <w:rsid w:val="F4EE82C8"/>
    <w:rsid w:val="F5BD7C8A"/>
    <w:rsid w:val="F74FDD91"/>
    <w:rsid w:val="F77F786F"/>
    <w:rsid w:val="F77FDA4D"/>
    <w:rsid w:val="F7DFC67B"/>
    <w:rsid w:val="F7EED210"/>
    <w:rsid w:val="F9BD2629"/>
    <w:rsid w:val="F9FB09D6"/>
    <w:rsid w:val="FA7DDDF4"/>
    <w:rsid w:val="FB4EB458"/>
    <w:rsid w:val="FBF689DA"/>
    <w:rsid w:val="FC7CBE7E"/>
    <w:rsid w:val="FD7766A9"/>
    <w:rsid w:val="FDD743E5"/>
    <w:rsid w:val="FDD7E8B7"/>
    <w:rsid w:val="FDDB18BE"/>
    <w:rsid w:val="FDDDC7FF"/>
    <w:rsid w:val="FDF594A5"/>
    <w:rsid w:val="FDFF0EA1"/>
    <w:rsid w:val="FE6FAC6C"/>
    <w:rsid w:val="FEF36AD1"/>
    <w:rsid w:val="FF380B86"/>
    <w:rsid w:val="FF5EF410"/>
    <w:rsid w:val="FF719EFE"/>
    <w:rsid w:val="FF7AFD1F"/>
    <w:rsid w:val="FF7FD981"/>
    <w:rsid w:val="FF9E5207"/>
    <w:rsid w:val="FFAD5693"/>
    <w:rsid w:val="FFAE5760"/>
    <w:rsid w:val="FFAFD39F"/>
    <w:rsid w:val="FFBD925E"/>
    <w:rsid w:val="FFBEBD8F"/>
    <w:rsid w:val="FFC76E76"/>
    <w:rsid w:val="FFD624FF"/>
    <w:rsid w:val="FFD71ED7"/>
    <w:rsid w:val="FFDCEC2A"/>
    <w:rsid w:val="FFDE1A05"/>
    <w:rsid w:val="FFE7911D"/>
    <w:rsid w:val="FFE9BFB1"/>
    <w:rsid w:val="FFF51BB6"/>
    <w:rsid w:val="FFFB4834"/>
    <w:rsid w:val="FFFB52D3"/>
    <w:rsid w:val="FFFD0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02771"/>
  <w15:chartTrackingRefBased/>
  <w15:docId w15:val="{3B5934CE-3449-4964-BF67-7FB24BEF6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toc 1" w:qFormat="1"/>
    <w:lsdException w:name="toc 2" w:qFormat="1"/>
    <w:lsdException w:name="Normal Indent" w:unhideWhenUsed="1" w:qFormat="1"/>
    <w:lsdException w:name="footnote text" w:qFormat="1"/>
    <w:lsdException w:name="footer" w:qFormat="1"/>
    <w:lsdException w:name="caption" w:qFormat="1"/>
    <w:lsdException w:name="footnote reference"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uiPriority="99" w:unhideWhenUsed="1" w:qFormat="1"/>
    <w:lsdException w:name="Body Text Indent 2"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unhideWhenUsed="1" w:qFormat="1"/>
    <w:lsdException w:name="Table Grid"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Footer"/>
    <w:qFormat/>
    <w:pPr>
      <w:widowControl w:val="0"/>
      <w:jc w:val="both"/>
    </w:pPr>
    <w:rPr>
      <w:rFonts w:cs="Arial"/>
      <w:kern w:val="2"/>
      <w:sz w:val="21"/>
      <w:szCs w:val="22"/>
    </w:rPr>
  </w:style>
  <w:style w:type="paragraph" w:styleId="Heading1">
    <w:name w:val="heading 1"/>
    <w:basedOn w:val="Normal"/>
    <w:next w:val="Normal"/>
    <w:qFormat/>
    <w:pPr>
      <w:keepNext/>
      <w:keepLines/>
      <w:spacing w:afterLines="100" w:after="100" w:line="540" w:lineRule="exact"/>
      <w:jc w:val="center"/>
      <w:outlineLvl w:val="0"/>
    </w:pPr>
    <w:rPr>
      <w:rFonts w:eastAsia="方正黑体_GBK"/>
      <w:kern w:val="44"/>
    </w:rPr>
  </w:style>
  <w:style w:type="paragraph" w:styleId="Heading2">
    <w:name w:val="heading 2"/>
    <w:basedOn w:val="Normal"/>
    <w:next w:val="Normal"/>
    <w:link w:val="Heading2Char"/>
    <w:qFormat/>
    <w:pPr>
      <w:shd w:val="clear" w:color="050000" w:fill="auto"/>
      <w:adjustRightInd w:val="0"/>
      <w:spacing w:afterLines="100" w:after="100" w:line="540" w:lineRule="exact"/>
      <w:outlineLvl w:val="1"/>
    </w:pPr>
    <w:rPr>
      <w:rFonts w:eastAsia="方正楷体_GBK" w:cs="方正楷体_GBK"/>
    </w:rPr>
  </w:style>
  <w:style w:type="paragraph" w:styleId="Heading3">
    <w:name w:val="heading 3"/>
    <w:basedOn w:val="Normal"/>
    <w:next w:val="Normal"/>
    <w:qFormat/>
    <w:pPr>
      <w:ind w:firstLineChars="200" w:firstLine="600"/>
      <w:jc w:val="left"/>
      <w:outlineLvl w:val="2"/>
    </w:pPr>
    <w:rPr>
      <w:rFonts w:eastAsia="FangSong_GB2312" w:cs="FangSong_GB2312"/>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Index5"/>
    <w:qFormat/>
    <w:pPr>
      <w:tabs>
        <w:tab w:val="center" w:pos="4153"/>
        <w:tab w:val="right" w:pos="8306"/>
      </w:tabs>
      <w:snapToGrid w:val="0"/>
      <w:jc w:val="left"/>
    </w:pPr>
    <w:rPr>
      <w:sz w:val="18"/>
    </w:rPr>
  </w:style>
  <w:style w:type="paragraph" w:styleId="Index5">
    <w:name w:val="index 5"/>
    <w:basedOn w:val="Normal"/>
    <w:next w:val="Normal"/>
    <w:qFormat/>
    <w:pPr>
      <w:ind w:left="1680"/>
    </w:pPr>
  </w:style>
  <w:style w:type="character" w:customStyle="1" w:styleId="Heading2Char">
    <w:name w:val="Heading 2 Char"/>
    <w:link w:val="Heading2"/>
    <w:qFormat/>
    <w:rPr>
      <w:rFonts w:ascii="Times New Roman" w:eastAsia="方正楷体_GBK" w:hAnsi="Times New Roman" w:cs="方正楷体_GBK"/>
    </w:rPr>
  </w:style>
  <w:style w:type="paragraph" w:styleId="NormalIndent">
    <w:name w:val="Normal Indent"/>
    <w:basedOn w:val="Normal"/>
    <w:unhideWhenUsed/>
    <w:qFormat/>
    <w:pPr>
      <w:spacing w:line="360" w:lineRule="auto"/>
      <w:ind w:firstLine="420"/>
    </w:pPr>
    <w:rPr>
      <w:szCs w:val="20"/>
    </w:rPr>
  </w:style>
  <w:style w:type="paragraph" w:styleId="Caption">
    <w:name w:val="caption"/>
    <w:basedOn w:val="Normal"/>
    <w:next w:val="Normal"/>
    <w:qFormat/>
    <w:rPr>
      <w:rFonts w:ascii="DengXian Light" w:eastAsia="SimHei" w:hAnsi="DengXian Light"/>
      <w:sz w:val="20"/>
      <w:szCs w:val="20"/>
    </w:rPr>
  </w:style>
  <w:style w:type="paragraph" w:styleId="BodyText">
    <w:name w:val="Body Text"/>
    <w:basedOn w:val="Normal"/>
    <w:qFormat/>
    <w:pPr>
      <w:shd w:val="clear" w:color="050000" w:fill="auto"/>
      <w:adjustRightInd w:val="0"/>
      <w:snapToGrid w:val="0"/>
    </w:pPr>
  </w:style>
  <w:style w:type="paragraph" w:styleId="BodyTextIndent">
    <w:name w:val="Body Text Indent"/>
    <w:basedOn w:val="Normal"/>
    <w:uiPriority w:val="99"/>
    <w:unhideWhenUsed/>
    <w:qFormat/>
    <w:pPr>
      <w:spacing w:after="120"/>
      <w:ind w:leftChars="200" w:left="420"/>
    </w:pPr>
  </w:style>
  <w:style w:type="paragraph" w:styleId="PlainText">
    <w:name w:val="Plain Text"/>
    <w:basedOn w:val="Normal"/>
    <w:uiPriority w:val="99"/>
    <w:qFormat/>
    <w:rPr>
      <w:rFonts w:ascii="SimSun" w:hAnsi="Courier New"/>
      <w:kern w:val="0"/>
      <w:sz w:val="20"/>
      <w:szCs w:val="20"/>
    </w:rPr>
  </w:style>
  <w:style w:type="paragraph" w:styleId="BodyTextIndent2">
    <w:name w:val="Body Text Indent 2"/>
    <w:basedOn w:val="Normal"/>
    <w:qFormat/>
    <w:pPr>
      <w:spacing w:after="120" w:line="480" w:lineRule="auto"/>
      <w:ind w:leftChars="200" w:left="200"/>
    </w:pPr>
  </w:style>
  <w:style w:type="paragraph" w:styleId="BalloonText">
    <w:name w:val="Balloon Text"/>
    <w:uiPriority w:val="99"/>
    <w:unhideWhenUsed/>
    <w:qFormat/>
    <w:pPr>
      <w:widowControl w:val="0"/>
      <w:jc w:val="both"/>
    </w:pPr>
    <w:rPr>
      <w:rFonts w:ascii="Calibri" w:hAnsi="Calibri"/>
      <w:kern w:val="2"/>
      <w:sz w:val="18"/>
      <w:szCs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qFormat/>
    <w:pPr>
      <w:tabs>
        <w:tab w:val="right" w:leader="dot" w:pos="8674"/>
      </w:tabs>
      <w:spacing w:before="120" w:after="120" w:line="560" w:lineRule="exact"/>
    </w:pPr>
    <w:rPr>
      <w:rFonts w:ascii="FangSong_GB2312" w:eastAsia="SimHei" w:hAnsi="FangSong_GB2312" w:cs="FangSong_GB2312"/>
      <w:b/>
      <w:sz w:val="28"/>
      <w:szCs w:val="30"/>
    </w:rPr>
  </w:style>
  <w:style w:type="paragraph" w:styleId="FootnoteText">
    <w:name w:val="footnote text"/>
    <w:basedOn w:val="Normal"/>
    <w:qFormat/>
    <w:pPr>
      <w:snapToGrid w:val="0"/>
      <w:jc w:val="left"/>
    </w:pPr>
    <w:rPr>
      <w:rFonts w:ascii="Calibri" w:hAnsi="Calibri" w:cs="Times New Roman"/>
      <w:sz w:val="18"/>
      <w:szCs w:val="24"/>
    </w:rPr>
  </w:style>
  <w:style w:type="paragraph" w:styleId="TOC2">
    <w:name w:val="toc 2"/>
    <w:basedOn w:val="Normal"/>
    <w:next w:val="Normal"/>
    <w:qFormat/>
    <w:pPr>
      <w:tabs>
        <w:tab w:val="right" w:leader="dot" w:pos="8674"/>
      </w:tabs>
      <w:spacing w:line="588" w:lineRule="exact"/>
      <w:ind w:left="278"/>
    </w:pPr>
    <w:rPr>
      <w:rFonts w:ascii="FangSong_GB2312" w:eastAsia="KaiTi_GB2312" w:hAnsi="FangSong_GB2312" w:cs="FangSong_GB2312"/>
      <w:sz w:val="28"/>
      <w:szCs w:val="30"/>
    </w:rPr>
  </w:style>
  <w:style w:type="paragraph" w:styleId="NormalWeb">
    <w:name w:val="Normal (Web)"/>
    <w:basedOn w:val="Normal"/>
    <w:pPr>
      <w:spacing w:before="100" w:beforeAutospacing="1" w:after="100" w:afterAutospacing="1"/>
      <w:jc w:val="left"/>
    </w:pPr>
    <w:rPr>
      <w:rFonts w:cs="Times New Roman"/>
      <w:kern w:val="0"/>
      <w:sz w:val="24"/>
    </w:rPr>
  </w:style>
  <w:style w:type="paragraph" w:styleId="Title">
    <w:name w:val="Title"/>
    <w:basedOn w:val="Normal"/>
    <w:next w:val="Normal"/>
    <w:qFormat/>
    <w:pPr>
      <w:jc w:val="center"/>
      <w:outlineLvl w:val="0"/>
    </w:pPr>
    <w:rPr>
      <w:rFonts w:ascii="Arial" w:hAnsi="Arial"/>
      <w:sz w:val="32"/>
      <w:szCs w:val="32"/>
    </w:rPr>
  </w:style>
  <w:style w:type="paragraph" w:styleId="BodyTextFirstIndent">
    <w:name w:val="Body Text First Indent"/>
    <w:basedOn w:val="BodyText"/>
    <w:qFormat/>
    <w:pPr>
      <w:spacing w:after="140" w:line="276" w:lineRule="auto"/>
      <w:ind w:firstLineChars="100" w:firstLine="100"/>
    </w:pPr>
    <w:rPr>
      <w:rFonts w:eastAsia="FangSong_GB2312" w:cs="Times New Roman"/>
      <w:sz w:val="32"/>
    </w:rPr>
  </w:style>
  <w:style w:type="paragraph" w:styleId="BodyTextFirstIndent2">
    <w:name w:val="Body Text First Indent 2"/>
    <w:basedOn w:val="BodyTextIndent"/>
    <w:uiPriority w:val="99"/>
    <w:unhideWhenUsed/>
    <w:qFormat/>
    <w:pPr>
      <w:ind w:firstLine="420"/>
    </w:pPr>
    <w:rPr>
      <w:rFonts w:cs="SimSun"/>
      <w:szCs w:val="21"/>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qFormat/>
    <w:rPr>
      <w:vertAlign w:val="superscript"/>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BodyText0">
    <w:name w:val="BodyText"/>
    <w:basedOn w:val="Normal"/>
    <w:qFormat/>
    <w:pPr>
      <w:textAlignment w:val="baseline"/>
    </w:pPr>
    <w:rPr>
      <w:rFonts w:ascii="DengXian" w:eastAsia="DengXian" w:hAnsi="DengXian" w:cs="SimHei"/>
    </w:rPr>
  </w:style>
  <w:style w:type="character" w:customStyle="1" w:styleId="font01">
    <w:name w:val="font01"/>
    <w:basedOn w:val="DefaultParagraphFont"/>
    <w:rPr>
      <w:rFonts w:ascii="SimSun" w:eastAsia="SimSun" w:hAnsi="SimSun" w:cs="SimSun" w:hint="eastAsia"/>
      <w:b/>
      <w:bCs/>
      <w:i w:val="0"/>
      <w:iCs w:val="0"/>
      <w:color w:val="000000"/>
      <w:sz w:val="22"/>
      <w:szCs w:val="22"/>
      <w:u w:val="none"/>
    </w:rPr>
  </w:style>
  <w:style w:type="character" w:customStyle="1" w:styleId="font81">
    <w:name w:val="font81"/>
    <w:basedOn w:val="DefaultParagraphFont"/>
    <w:rPr>
      <w:rFonts w:ascii="SimSun" w:eastAsia="SimSun" w:hAnsi="SimSun" w:cs="SimSun" w:hint="eastAsia"/>
      <w:i w:val="0"/>
      <w:iCs w:val="0"/>
      <w:color w:val="000000"/>
      <w:sz w:val="22"/>
      <w:szCs w:val="22"/>
      <w:u w:val="none"/>
    </w:rPr>
  </w:style>
  <w:style w:type="character" w:customStyle="1" w:styleId="font21">
    <w:name w:val="font21"/>
    <w:basedOn w:val="DefaultParagraphFont"/>
    <w:rPr>
      <w:rFonts w:ascii="SimSun" w:eastAsia="SimSun" w:hAnsi="SimSun" w:cs="SimSun" w:hint="eastAsia"/>
      <w:b/>
      <w:bCs/>
      <w:i w:val="0"/>
      <w:iCs w:val="0"/>
      <w:color w:val="000000"/>
      <w:sz w:val="22"/>
      <w:szCs w:val="22"/>
      <w:u w:val="none"/>
    </w:rPr>
  </w:style>
  <w:style w:type="character" w:customStyle="1" w:styleId="font11">
    <w:name w:val="font11"/>
    <w:basedOn w:val="DefaultParagraphFont"/>
    <w:rPr>
      <w:rFonts w:ascii="SimSun" w:eastAsia="SimSun" w:hAnsi="SimSun" w:cs="SimSun" w:hint="eastAsia"/>
      <w:i w:val="0"/>
      <w:iCs w:val="0"/>
      <w:color w:val="000000"/>
      <w:sz w:val="22"/>
      <w:szCs w:val="22"/>
      <w:u w:val="none"/>
    </w:rPr>
  </w:style>
  <w:style w:type="paragraph" w:styleId="ListParagraph">
    <w:name w:val="List Paragraph"/>
    <w:basedOn w:val="Normal"/>
    <w:uiPriority w:val="34"/>
    <w:qFormat/>
    <w:pPr>
      <w:ind w:firstLineChars="200" w:firstLine="420"/>
    </w:pPr>
  </w:style>
  <w:style w:type="paragraph" w:styleId="Revision">
    <w:name w:val="Revision"/>
    <w:hidden/>
    <w:uiPriority w:val="99"/>
    <w:unhideWhenUsed/>
    <w:rsid w:val="00325E89"/>
    <w:rPr>
      <w:rFonts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3401</Words>
  <Characters>19391</Characters>
  <Application>Microsoft Office Word</Application>
  <DocSecurity>0</DocSecurity>
  <Lines>161</Lines>
  <Paragraphs>45</Paragraphs>
  <ScaleCrop>false</ScaleCrop>
  <Company/>
  <LinksUpToDate>false</LinksUpToDate>
  <CharactersWithSpaces>22747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subject/>
  <dc:creator>Huang</dc:creator>
  <cp:keywords/>
  <cp:lastModifiedBy>Patrick Quinn</cp:lastModifiedBy>
  <cp:revision>2</cp:revision>
  <cp:lastPrinted>2026-07-29T01:21:00Z</cp:lastPrinted>
  <dcterms:created xsi:type="dcterms:W3CDTF">2026-08-13T23:55:00Z</dcterms:created>
  <dcterms:modified xsi:type="dcterms:W3CDTF">2026-08-13T23:55:00Z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2052-11.8.2.12356</vt:lpwstr>
  </property>
  <property fmtid="{D5CDD505-2E9C-101B-9397-08002B2CF9AE}" pid="3" name="ICV">
    <vt:lpwstr>F203302D240E3A16903B6A6A979F4B85</vt:lpwstr>
  </property>
  <property fmtid="{D5CDD505-2E9C-101B-9397-08002B2CF9AE}" pid="4" name="KSOTemplateDocerSaveRecord">
    <vt:lpwstr>eyJoZGlkIjoiMjk0MjI0NDZlY2ViZjBjYTE4Y2NiOTA1MTA5OTZiZGYiLCJ1c2VySWQiOiIzOTczOTk1MTYifQ==</vt:lpwstr>
  </property>
</Properties>
</file>