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9144" w14:textId="77777777" w:rsidR="00000000" w:rsidRDefault="00000000">
      <w:pPr>
        <w:spacing w:line="720" w:lineRule="auto"/>
        <w:jc w:val="center"/>
        <w:rPr>
          <w:rFonts w:eastAsia="方正小标宋_GBK" w:cs="方正小标宋_GBK" w:hint="eastAsia"/>
          <w:sz w:val="44"/>
          <w:szCs w:val="44"/>
        </w:rPr>
      </w:pPr>
    </w:p>
    <w:p w14:paraId="6CFAE432" w14:textId="77777777" w:rsidR="00000000" w:rsidRDefault="00000000">
      <w:pPr>
        <w:spacing w:line="720" w:lineRule="auto"/>
        <w:jc w:val="center"/>
        <w:rPr>
          <w:rFonts w:eastAsia="方正小标宋_GBK" w:cs="方正小标宋_GBK" w:hint="eastAsia"/>
          <w:sz w:val="44"/>
          <w:szCs w:val="44"/>
        </w:rPr>
      </w:pPr>
    </w:p>
    <w:p w14:paraId="70115429" w14:textId="77777777" w:rsidR="00000000" w:rsidRDefault="00000000">
      <w:pPr>
        <w:spacing w:line="720" w:lineRule="auto"/>
        <w:jc w:val="center"/>
        <w:rPr>
          <w:rFonts w:eastAsia="方正小标宋_GBK" w:cs="方正小标宋_GBK" w:hint="eastAsia"/>
          <w:sz w:val="44"/>
          <w:szCs w:val="44"/>
        </w:rPr>
      </w:pPr>
    </w:p>
    <w:p w14:paraId="63D6AECA" w14:textId="77777777" w:rsidR="00000000" w:rsidRDefault="00000000">
      <w:pPr>
        <w:spacing w:line="720" w:lineRule="auto"/>
        <w:jc w:val="center"/>
        <w:rPr>
          <w:rFonts w:eastAsia="方正小标宋_GBK" w:cs="方正小标宋_GBK" w:hint="eastAsia"/>
          <w:sz w:val="44"/>
          <w:szCs w:val="44"/>
        </w:rPr>
      </w:pPr>
      <w:r>
        <w:rPr>
          <w:rFonts w:eastAsia="方正小标宋_GBK" w:cs="方正小标宋_GBK" w:hint="eastAsia"/>
          <w:sz w:val="44"/>
          <w:szCs w:val="44"/>
        </w:rPr>
        <w:t>海南省“十五五”服务业发展规划</w:t>
      </w:r>
    </w:p>
    <w:p w14:paraId="3DFC6C00"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17C81611"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72034A63"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0349AB5C"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3C3F9169" w14:textId="77777777" w:rsidR="00000000" w:rsidRDefault="00000000">
      <w:pPr>
        <w:overflowPunct w:val="0"/>
        <w:adjustRightInd w:val="0"/>
        <w:snapToGrid w:val="0"/>
        <w:spacing w:line="600" w:lineRule="exact"/>
        <w:rPr>
          <w:rFonts w:eastAsia="FangSong_GB2312" w:cs="Times New Roman"/>
          <w:color w:val="000000"/>
          <w:sz w:val="32"/>
          <w:szCs w:val="32"/>
        </w:rPr>
      </w:pPr>
    </w:p>
    <w:p w14:paraId="6DBA2A55"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19F6F0C6"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317F9301"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06375440"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13A7C849"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26BB525E" w14:textId="77777777" w:rsidR="00000000" w:rsidRDefault="00000000">
      <w:pPr>
        <w:overflowPunct w:val="0"/>
        <w:adjustRightInd w:val="0"/>
        <w:snapToGrid w:val="0"/>
        <w:spacing w:line="600" w:lineRule="exact"/>
        <w:ind w:firstLineChars="200" w:firstLine="640"/>
        <w:rPr>
          <w:rFonts w:eastAsia="FangSong_GB2312" w:cs="Times New Roman"/>
          <w:color w:val="000000"/>
          <w:sz w:val="32"/>
          <w:szCs w:val="32"/>
        </w:rPr>
      </w:pPr>
    </w:p>
    <w:p w14:paraId="7B539C50" w14:textId="77777777" w:rsidR="00000000" w:rsidRDefault="00000000">
      <w:pPr>
        <w:widowControl/>
        <w:spacing w:line="560" w:lineRule="exact"/>
        <w:rPr>
          <w:rFonts w:ascii="KaiTi_GB2312" w:eastAsia="KaiTi_GB2312" w:hAnsi="KaiTi_GB2312" w:cs="KaiTi_GB2312" w:hint="eastAsia"/>
          <w:snapToGrid w:val="0"/>
          <w:kern w:val="0"/>
          <w:position w:val="1"/>
          <w:sz w:val="36"/>
          <w:szCs w:val="36"/>
        </w:rPr>
      </w:pPr>
    </w:p>
    <w:p w14:paraId="51A0A3CB" w14:textId="77777777" w:rsidR="00000000" w:rsidRDefault="00000000">
      <w:pPr>
        <w:widowControl/>
        <w:spacing w:line="560" w:lineRule="exact"/>
        <w:jc w:val="center"/>
        <w:rPr>
          <w:rFonts w:eastAsia="KaiTi_GB2312" w:cs="KaiTi_GB2312" w:hint="eastAsia"/>
          <w:kern w:val="0"/>
          <w:sz w:val="36"/>
          <w:szCs w:val="36"/>
        </w:rPr>
      </w:pPr>
      <w:r>
        <w:rPr>
          <w:rFonts w:eastAsia="KaiTi_GB2312" w:cs="KaiTi_GB2312" w:hint="eastAsia"/>
          <w:kern w:val="0"/>
          <w:sz w:val="36"/>
          <w:szCs w:val="36"/>
        </w:rPr>
        <w:t>2026</w:t>
      </w:r>
      <w:r>
        <w:rPr>
          <w:rFonts w:eastAsia="KaiTi_GB2312" w:cs="KaiTi_GB2312" w:hint="eastAsia"/>
          <w:kern w:val="0"/>
          <w:sz w:val="36"/>
          <w:szCs w:val="36"/>
        </w:rPr>
        <w:t>年</w:t>
      </w:r>
      <w:r>
        <w:rPr>
          <w:rFonts w:eastAsia="KaiTi_GB2312" w:cs="KaiTi_GB2312" w:hint="eastAsia"/>
          <w:kern w:val="0"/>
          <w:sz w:val="36"/>
          <w:szCs w:val="36"/>
        </w:rPr>
        <w:t>7</w:t>
      </w:r>
      <w:r>
        <w:rPr>
          <w:rFonts w:eastAsia="KaiTi_GB2312" w:cs="KaiTi_GB2312" w:hint="eastAsia"/>
          <w:kern w:val="0"/>
          <w:sz w:val="36"/>
          <w:szCs w:val="36"/>
        </w:rPr>
        <w:t>月</w:t>
      </w:r>
    </w:p>
    <w:p w14:paraId="1AB890F8" w14:textId="77777777" w:rsidR="00000000" w:rsidRDefault="00000000">
      <w:pPr>
        <w:overflowPunct w:val="0"/>
        <w:adjustRightInd w:val="0"/>
        <w:snapToGrid w:val="0"/>
        <w:spacing w:afterLines="50" w:after="156" w:line="600" w:lineRule="exact"/>
        <w:jc w:val="center"/>
        <w:outlineLvl w:val="0"/>
        <w:rPr>
          <w:rFonts w:eastAsia="KaiTi_GB2312" w:cs="KaiTi_GB2312" w:hint="eastAsia"/>
          <w:bCs/>
          <w:kern w:val="44"/>
          <w:sz w:val="36"/>
          <w:szCs w:val="36"/>
        </w:rPr>
        <w:sectPr w:rsidR="00000000">
          <w:footerReference w:type="default" r:id="rId6"/>
          <w:pgSz w:w="11906" w:h="16838"/>
          <w:pgMar w:top="2098" w:right="1587" w:bottom="2098" w:left="1587" w:header="851" w:footer="1247" w:gutter="0"/>
          <w:pgNumType w:fmt="numberInDash"/>
          <w:cols w:space="720"/>
          <w:docGrid w:type="lines" w:linePitch="312"/>
        </w:sectPr>
      </w:pPr>
    </w:p>
    <w:p w14:paraId="359E34FD" w14:textId="77777777" w:rsidR="00000000" w:rsidRDefault="00000000">
      <w:pPr>
        <w:pStyle w:val="TOC1"/>
        <w:tabs>
          <w:tab w:val="right" w:leader="dot" w:pos="8844"/>
        </w:tabs>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lastRenderedPageBreak/>
        <w:t>目 录</w:t>
      </w:r>
    </w:p>
    <w:p w14:paraId="11639EE9" w14:textId="77777777" w:rsidR="00000000" w:rsidRDefault="00000000">
      <w:pPr>
        <w:pStyle w:val="TOC1"/>
        <w:tabs>
          <w:tab w:val="right" w:leader="dot" w:pos="8844"/>
        </w:tabs>
        <w:spacing w:line="360" w:lineRule="atLeast"/>
        <w:rPr>
          <w:rFonts w:ascii="FangSong_GB2312" w:eastAsia="FangSong_GB2312" w:hAnsi="FangSong_GB2312" w:cs="FangSong_GB2312" w:hint="eastAsia"/>
          <w:sz w:val="28"/>
          <w:szCs w:val="28"/>
        </w:rPr>
      </w:pPr>
      <w:r>
        <w:rPr>
          <w:rFonts w:ascii="KaiTi" w:eastAsia="KaiTi" w:hAnsi="KaiTi" w:cs="KaiTi" w:hint="eastAsia"/>
          <w:sz w:val="28"/>
          <w:szCs w:val="28"/>
        </w:rPr>
        <w:fldChar w:fldCharType="begin"/>
      </w:r>
      <w:r>
        <w:rPr>
          <w:rFonts w:ascii="KaiTi" w:eastAsia="KaiTi" w:hAnsi="KaiTi" w:cs="KaiTi" w:hint="eastAsia"/>
          <w:sz w:val="28"/>
          <w:szCs w:val="28"/>
        </w:rPr>
        <w:instrText xml:space="preserve">TOC \o "1-2" \h \u </w:instrText>
      </w:r>
      <w:r>
        <w:rPr>
          <w:rFonts w:ascii="KaiTi" w:eastAsia="KaiTi" w:hAnsi="KaiTi" w:cs="KaiTi" w:hint="eastAsia"/>
          <w:sz w:val="28"/>
          <w:szCs w:val="28"/>
        </w:rPr>
        <w:fldChar w:fldCharType="separate"/>
      </w:r>
      <w:hyperlink w:anchor="_Toc767" w:history="1">
        <w:r>
          <w:rPr>
            <w:rFonts w:ascii="SimHei" w:eastAsia="SimHei" w:hAnsi="SimHei" w:cs="SimHei" w:hint="eastAsia"/>
            <w:bCs/>
            <w:kern w:val="44"/>
            <w:sz w:val="28"/>
            <w:szCs w:val="28"/>
          </w:rPr>
          <w:t>序  言</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_Toc767 \h </w:instrText>
        </w:r>
        <w:r>
          <w:rPr>
            <w:rFonts w:ascii="SimHei" w:eastAsia="SimHei" w:hAnsi="SimHei" w:cs="SimHei" w:hint="eastAsia"/>
            <w:sz w:val="28"/>
            <w:szCs w:val="28"/>
          </w:rPr>
          <w:fldChar w:fldCharType="separate"/>
        </w:r>
        <w:r>
          <w:rPr>
            <w:rFonts w:ascii="SimHei" w:eastAsia="SimHei" w:hAnsi="SimHei" w:cs="SimHei" w:hint="eastAsia"/>
            <w:sz w:val="28"/>
            <w:szCs w:val="28"/>
          </w:rPr>
          <w:t>1</w:t>
        </w:r>
        <w:r>
          <w:rPr>
            <w:rFonts w:ascii="SimHei" w:eastAsia="SimHei" w:hAnsi="SimHei" w:cs="SimHei" w:hint="eastAsia"/>
            <w:sz w:val="28"/>
            <w:szCs w:val="28"/>
          </w:rPr>
          <w:fldChar w:fldCharType="end"/>
        </w:r>
      </w:hyperlink>
    </w:p>
    <w:p w14:paraId="35D411AF" w14:textId="77777777" w:rsidR="00000000" w:rsidRDefault="00000000">
      <w:pPr>
        <w:pStyle w:val="TOC1"/>
        <w:tabs>
          <w:tab w:val="right" w:leader="dot" w:pos="8844"/>
        </w:tabs>
        <w:spacing w:line="360" w:lineRule="atLeast"/>
        <w:rPr>
          <w:rFonts w:ascii="FangSong_GB2312" w:eastAsia="FangSong_GB2312" w:hAnsi="FangSong_GB2312" w:cs="FangSong_GB2312" w:hint="eastAsia"/>
          <w:sz w:val="28"/>
          <w:szCs w:val="28"/>
        </w:rPr>
      </w:pPr>
      <w:hyperlink w:anchor="_Toc21635" w:history="1">
        <w:r>
          <w:rPr>
            <w:rFonts w:ascii="SimHei" w:eastAsia="SimHei" w:hAnsi="SimHei" w:cs="SimHei" w:hint="eastAsia"/>
            <w:sz w:val="28"/>
            <w:szCs w:val="28"/>
          </w:rPr>
          <w:t>一、海南服务业现状与总体要求</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_Toc21635 \h </w:instrText>
        </w:r>
        <w:r>
          <w:rPr>
            <w:rFonts w:ascii="SimHei" w:eastAsia="SimHei" w:hAnsi="SimHei" w:cs="SimHei" w:hint="eastAsia"/>
            <w:sz w:val="28"/>
            <w:szCs w:val="28"/>
          </w:rPr>
          <w:fldChar w:fldCharType="separate"/>
        </w:r>
        <w:r>
          <w:rPr>
            <w:rFonts w:ascii="SimHei" w:eastAsia="SimHei" w:hAnsi="SimHei" w:cs="SimHei" w:hint="eastAsia"/>
            <w:sz w:val="28"/>
            <w:szCs w:val="28"/>
          </w:rPr>
          <w:t>2</w:t>
        </w:r>
        <w:r>
          <w:rPr>
            <w:rFonts w:ascii="SimHei" w:eastAsia="SimHei" w:hAnsi="SimHei" w:cs="SimHei" w:hint="eastAsia"/>
            <w:sz w:val="28"/>
            <w:szCs w:val="28"/>
          </w:rPr>
          <w:fldChar w:fldCharType="end"/>
        </w:r>
      </w:hyperlink>
    </w:p>
    <w:p w14:paraId="23B73387"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2926" w:history="1">
        <w:r>
          <w:rPr>
            <w:rFonts w:ascii="KaiTi_GB2312" w:eastAsia="KaiTi_GB2312" w:hAnsi="KaiTi_GB2312" w:cs="KaiTi_GB2312" w:hint="eastAsia"/>
            <w:sz w:val="28"/>
            <w:szCs w:val="28"/>
          </w:rPr>
          <w:t>（一）“十四五”时期海南服务业发展取得的成就</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_Toc22926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w:t>
        </w:r>
        <w:r>
          <w:rPr>
            <w:rFonts w:ascii="KaiTi_GB2312" w:eastAsia="KaiTi_GB2312" w:hAnsi="KaiTi_GB2312" w:cs="KaiTi_GB2312" w:hint="eastAsia"/>
            <w:sz w:val="28"/>
            <w:szCs w:val="28"/>
          </w:rPr>
          <w:fldChar w:fldCharType="end"/>
        </w:r>
      </w:hyperlink>
    </w:p>
    <w:p w14:paraId="46408A6C"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7810" w:history="1">
        <w:r>
          <w:rPr>
            <w:rFonts w:ascii="KaiTi_GB2312" w:eastAsia="KaiTi_GB2312" w:hAnsi="KaiTi_GB2312" w:cs="KaiTi_GB2312" w:hint="eastAsia"/>
            <w:sz w:val="28"/>
            <w:szCs w:val="28"/>
          </w:rPr>
          <w:t>（二）“十五五”时期海南服务业发展面临的形势</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_Toc17810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w:t>
        </w:r>
        <w:r>
          <w:rPr>
            <w:rFonts w:ascii="KaiTi_GB2312" w:eastAsia="KaiTi_GB2312" w:hAnsi="KaiTi_GB2312" w:cs="KaiTi_GB2312" w:hint="eastAsia"/>
            <w:sz w:val="28"/>
            <w:szCs w:val="28"/>
          </w:rPr>
          <w:fldChar w:fldCharType="end"/>
        </w:r>
      </w:hyperlink>
    </w:p>
    <w:p w14:paraId="350B3CE8" w14:textId="77777777" w:rsidR="00000000" w:rsidRDefault="00000000">
      <w:pPr>
        <w:pStyle w:val="TOC2"/>
        <w:tabs>
          <w:tab w:val="right" w:leader="dot" w:pos="8844"/>
        </w:tabs>
        <w:spacing w:line="360" w:lineRule="atLeast"/>
        <w:rPr>
          <w:rFonts w:ascii="FangSong_GB2312" w:eastAsia="FangSong_GB2312" w:hAnsi="FangSong_GB2312" w:cs="FangSong_GB2312" w:hint="eastAsia"/>
          <w:sz w:val="28"/>
          <w:szCs w:val="28"/>
        </w:rPr>
      </w:pPr>
      <w:hyperlink w:anchor="_Toc6219" w:history="1">
        <w:r>
          <w:rPr>
            <w:rFonts w:ascii="KaiTi_GB2312" w:eastAsia="KaiTi_GB2312" w:hAnsi="KaiTi_GB2312" w:cs="KaiTi_GB2312" w:hint="eastAsia"/>
            <w:sz w:val="28"/>
            <w:szCs w:val="28"/>
          </w:rPr>
          <w:t>（三）“十五五”时期海南服务业发展的总体要求</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_Toc6219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4</w:t>
        </w:r>
        <w:r>
          <w:rPr>
            <w:rFonts w:ascii="KaiTi_GB2312" w:eastAsia="KaiTi_GB2312" w:hAnsi="KaiTi_GB2312" w:cs="KaiTi_GB2312" w:hint="eastAsia"/>
            <w:sz w:val="28"/>
            <w:szCs w:val="28"/>
          </w:rPr>
          <w:fldChar w:fldCharType="end"/>
        </w:r>
      </w:hyperlink>
    </w:p>
    <w:p w14:paraId="0B2C6ACC" w14:textId="77777777" w:rsidR="00000000" w:rsidRDefault="00000000">
      <w:pPr>
        <w:pStyle w:val="TOC1"/>
        <w:tabs>
          <w:tab w:val="right" w:leader="dot" w:pos="8844"/>
        </w:tabs>
        <w:spacing w:line="360" w:lineRule="atLeast"/>
        <w:rPr>
          <w:rFonts w:ascii="SimHei" w:eastAsia="SimHei" w:hAnsi="SimHei" w:cs="SimHei" w:hint="eastAsia"/>
          <w:sz w:val="28"/>
          <w:szCs w:val="28"/>
        </w:rPr>
      </w:pPr>
      <w:hyperlink w:anchor="_Toc838" w:history="1">
        <w:r>
          <w:rPr>
            <w:rFonts w:ascii="SimHei" w:eastAsia="SimHei" w:hAnsi="SimHei" w:cs="SimHei" w:hint="eastAsia"/>
            <w:sz w:val="28"/>
            <w:szCs w:val="28"/>
          </w:rPr>
          <w:t>二、</w:t>
        </w:r>
        <w:r>
          <w:rPr>
            <w:rFonts w:ascii="SimHei" w:eastAsia="SimHei" w:hAnsi="SimHei" w:cs="SimHei" w:hint="eastAsia"/>
            <w:spacing w:val="-6"/>
            <w:sz w:val="28"/>
            <w:szCs w:val="28"/>
          </w:rPr>
          <w:t>推进生产性服务业向专业化和价值链高端延伸</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_Toc838 \h </w:instrText>
        </w:r>
        <w:r>
          <w:rPr>
            <w:rFonts w:ascii="SimHei" w:eastAsia="SimHei" w:hAnsi="SimHei" w:cs="SimHei" w:hint="eastAsia"/>
            <w:sz w:val="28"/>
            <w:szCs w:val="28"/>
          </w:rPr>
          <w:fldChar w:fldCharType="separate"/>
        </w:r>
        <w:r>
          <w:rPr>
            <w:rFonts w:ascii="SimHei" w:eastAsia="SimHei" w:hAnsi="SimHei" w:cs="SimHei" w:hint="eastAsia"/>
            <w:sz w:val="28"/>
            <w:szCs w:val="28"/>
          </w:rPr>
          <w:t>7</w:t>
        </w:r>
        <w:r>
          <w:rPr>
            <w:rFonts w:ascii="SimHei" w:eastAsia="SimHei" w:hAnsi="SimHei" w:cs="SimHei" w:hint="eastAsia"/>
            <w:sz w:val="28"/>
            <w:szCs w:val="28"/>
          </w:rPr>
          <w:fldChar w:fldCharType="end"/>
        </w:r>
      </w:hyperlink>
    </w:p>
    <w:p w14:paraId="4209D7C5"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5234" w:history="1">
        <w:r>
          <w:rPr>
            <w:rFonts w:ascii="KaiTi_GB2312" w:eastAsia="KaiTi_GB2312" w:hAnsi="KaiTi_GB2312" w:cs="KaiTi_GB2312" w:hint="eastAsia"/>
            <w:sz w:val="28"/>
            <w:szCs w:val="28"/>
          </w:rPr>
          <w:t>（一）提升交通运输服务能级，打造双循环战略支点</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_Toc25234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7</w:t>
        </w:r>
        <w:r>
          <w:rPr>
            <w:rFonts w:ascii="KaiTi_GB2312" w:eastAsia="KaiTi_GB2312" w:hAnsi="KaiTi_GB2312" w:cs="KaiTi_GB2312" w:hint="eastAsia"/>
            <w:sz w:val="28"/>
            <w:szCs w:val="28"/>
          </w:rPr>
          <w:fldChar w:fldCharType="end"/>
        </w:r>
      </w:hyperlink>
    </w:p>
    <w:p w14:paraId="0EA77B3C"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8153" w:history="1">
        <w:r>
          <w:rPr>
            <w:rFonts w:ascii="KaiTi_GB2312" w:eastAsia="KaiTi_GB2312" w:hAnsi="KaiTi_GB2312" w:cs="KaiTi_GB2312" w:hint="eastAsia"/>
            <w:sz w:val="28"/>
            <w:szCs w:val="28"/>
          </w:rPr>
          <w:t>（二）创新发展信息软件服务，构建数智服务开放生态</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_Toc18153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12</w:t>
        </w:r>
        <w:r>
          <w:rPr>
            <w:rFonts w:ascii="KaiTi_GB2312" w:eastAsia="KaiTi_GB2312" w:hAnsi="KaiTi_GB2312" w:cs="KaiTi_GB2312" w:hint="eastAsia"/>
            <w:sz w:val="28"/>
            <w:szCs w:val="28"/>
          </w:rPr>
          <w:fldChar w:fldCharType="end"/>
        </w:r>
      </w:hyperlink>
    </w:p>
    <w:p w14:paraId="4A2F5808"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0848" w:history="1">
        <w:r>
          <w:rPr>
            <w:rFonts w:ascii="KaiTi_GB2312" w:eastAsia="KaiTi_GB2312" w:hAnsi="KaiTi_GB2312" w:cs="KaiTi_GB2312" w:hint="eastAsia"/>
            <w:sz w:val="28"/>
            <w:szCs w:val="28"/>
          </w:rPr>
          <w:t>（三）建设跨境金融创新高地，增强金融服务实体经济能力</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_Toc10848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15</w:t>
        </w:r>
        <w:r>
          <w:rPr>
            <w:rFonts w:ascii="KaiTi_GB2312" w:eastAsia="KaiTi_GB2312" w:hAnsi="KaiTi_GB2312" w:cs="KaiTi_GB2312" w:hint="eastAsia"/>
            <w:sz w:val="28"/>
            <w:szCs w:val="28"/>
          </w:rPr>
          <w:fldChar w:fldCharType="end"/>
        </w:r>
      </w:hyperlink>
    </w:p>
    <w:p w14:paraId="1550FD55"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8679" w:history="1">
        <w:r>
          <w:rPr>
            <w:rFonts w:ascii="KaiTi_GB2312" w:eastAsia="KaiTi_GB2312" w:hAnsi="KaiTi_GB2312" w:cs="KaiTi_GB2312" w:hint="eastAsia"/>
            <w:sz w:val="28"/>
            <w:szCs w:val="28"/>
          </w:rPr>
          <w:t>（四）构建现代化批发业产业体系，提升内外贸能级</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_Toc18679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17</w:t>
        </w:r>
        <w:r>
          <w:rPr>
            <w:rFonts w:ascii="KaiTi_GB2312" w:eastAsia="KaiTi_GB2312" w:hAnsi="KaiTi_GB2312" w:cs="KaiTi_GB2312" w:hint="eastAsia"/>
            <w:sz w:val="28"/>
            <w:szCs w:val="28"/>
          </w:rPr>
          <w:fldChar w:fldCharType="end"/>
        </w:r>
      </w:hyperlink>
    </w:p>
    <w:p w14:paraId="5F1351DC"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5326" w:history="1">
        <w:r>
          <w:rPr>
            <w:rFonts w:ascii="KaiTi_GB2312" w:eastAsia="KaiTi_GB2312" w:hAnsi="KaiTi_GB2312" w:cs="KaiTi_GB2312" w:hint="eastAsia"/>
            <w:sz w:val="28"/>
            <w:szCs w:val="28"/>
          </w:rPr>
          <w:t>（五）提升科技服务水平，强化科技支撑作用</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_Toc25326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19</w:t>
        </w:r>
        <w:r>
          <w:rPr>
            <w:rFonts w:ascii="KaiTi_GB2312" w:eastAsia="KaiTi_GB2312" w:hAnsi="KaiTi_GB2312" w:cs="KaiTi_GB2312" w:hint="eastAsia"/>
            <w:sz w:val="28"/>
            <w:szCs w:val="28"/>
          </w:rPr>
          <w:fldChar w:fldCharType="end"/>
        </w:r>
      </w:hyperlink>
    </w:p>
    <w:p w14:paraId="033856AB" w14:textId="77777777" w:rsidR="00000000" w:rsidRDefault="00000000">
      <w:pPr>
        <w:pStyle w:val="TOC2"/>
        <w:tabs>
          <w:tab w:val="right" w:leader="dot" w:pos="8844"/>
        </w:tabs>
        <w:spacing w:line="360" w:lineRule="atLeast"/>
        <w:rPr>
          <w:rFonts w:ascii="FangSong_GB2312" w:eastAsia="FangSong_GB2312" w:hAnsi="FangSong_GB2312" w:cs="FangSong_GB2312" w:hint="eastAsia"/>
          <w:sz w:val="28"/>
          <w:szCs w:val="28"/>
        </w:rPr>
      </w:pPr>
      <w:hyperlink w:anchor="_Toc455" w:history="1">
        <w:r>
          <w:rPr>
            <w:rFonts w:ascii="KaiTi_GB2312" w:eastAsia="KaiTi_GB2312" w:hAnsi="KaiTi_GB2312" w:cs="KaiTi_GB2312" w:hint="eastAsia"/>
            <w:sz w:val="28"/>
            <w:szCs w:val="28"/>
          </w:rPr>
          <w:t>（六）提升高端商务服务能级，促进国际化专业服务集聚</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_Toc455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w:t>
        </w:r>
        <w:r>
          <w:rPr>
            <w:rFonts w:ascii="KaiTi_GB2312" w:eastAsia="KaiTi_GB2312" w:hAnsi="KaiTi_GB2312" w:cs="KaiTi_GB2312" w:hint="eastAsia"/>
            <w:sz w:val="28"/>
            <w:szCs w:val="28"/>
          </w:rPr>
          <w:fldChar w:fldCharType="end"/>
        </w:r>
      </w:hyperlink>
      <w:r>
        <w:rPr>
          <w:rFonts w:ascii="KaiTi_GB2312" w:eastAsia="KaiTi_GB2312" w:hAnsi="KaiTi_GB2312" w:cs="KaiTi_GB2312"/>
          <w:sz w:val="28"/>
          <w:szCs w:val="28"/>
        </w:rPr>
        <w:t>1</w:t>
      </w:r>
    </w:p>
    <w:p w14:paraId="23618742" w14:textId="77777777" w:rsidR="00000000" w:rsidRDefault="00000000">
      <w:pPr>
        <w:pStyle w:val="TOC1"/>
        <w:tabs>
          <w:tab w:val="right" w:leader="dot" w:pos="8844"/>
        </w:tabs>
        <w:spacing w:line="360" w:lineRule="atLeast"/>
        <w:rPr>
          <w:rFonts w:ascii="FangSong_GB2312" w:eastAsia="FangSong_GB2312" w:hAnsi="FangSong_GB2312" w:cs="FangSong_GB2312" w:hint="eastAsia"/>
          <w:sz w:val="28"/>
          <w:szCs w:val="28"/>
        </w:rPr>
      </w:pPr>
      <w:hyperlink w:anchor="_Toc13614" w:history="1">
        <w:r>
          <w:rPr>
            <w:rFonts w:ascii="SimHei" w:eastAsia="SimHei" w:hAnsi="SimHei" w:cs="SimHei" w:hint="eastAsia"/>
            <w:sz w:val="28"/>
            <w:szCs w:val="28"/>
          </w:rPr>
          <w:t>三、促进生活性服务业高品质多样化便利化发展</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_Toc13614 \h </w:instrText>
        </w:r>
        <w:r>
          <w:rPr>
            <w:rFonts w:ascii="SimHei" w:eastAsia="SimHei" w:hAnsi="SimHei" w:cs="SimHei" w:hint="eastAsia"/>
            <w:sz w:val="28"/>
            <w:szCs w:val="28"/>
          </w:rPr>
          <w:fldChar w:fldCharType="separate"/>
        </w:r>
        <w:r>
          <w:rPr>
            <w:rFonts w:ascii="SimHei" w:eastAsia="SimHei" w:hAnsi="SimHei" w:cs="SimHei" w:hint="eastAsia"/>
            <w:sz w:val="28"/>
            <w:szCs w:val="28"/>
          </w:rPr>
          <w:t>23</w:t>
        </w:r>
        <w:r>
          <w:rPr>
            <w:rFonts w:ascii="SimHei" w:eastAsia="SimHei" w:hAnsi="SimHei" w:cs="SimHei" w:hint="eastAsia"/>
            <w:sz w:val="28"/>
            <w:szCs w:val="28"/>
          </w:rPr>
          <w:fldChar w:fldCharType="end"/>
        </w:r>
      </w:hyperlink>
    </w:p>
    <w:p w14:paraId="6F8EBE1A"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0392" w:history="1">
        <w:r>
          <w:rPr>
            <w:rFonts w:ascii="KaiTi_GB2312" w:eastAsia="KaiTi_GB2312" w:hAnsi="KaiTi_GB2312" w:cs="KaiTi_GB2312" w:hint="eastAsia"/>
            <w:sz w:val="28"/>
            <w:szCs w:val="28"/>
          </w:rPr>
          <w:t>（一）构建零售业新模式，引领消费新需求</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_Toc10392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23</w:t>
        </w:r>
        <w:r>
          <w:rPr>
            <w:rFonts w:ascii="KaiTi_GB2312" w:eastAsia="KaiTi_GB2312" w:hAnsi="KaiTi_GB2312" w:cs="KaiTi_GB2312" w:hint="eastAsia"/>
            <w:sz w:val="28"/>
            <w:szCs w:val="28"/>
          </w:rPr>
          <w:fldChar w:fldCharType="end"/>
        </w:r>
      </w:hyperlink>
    </w:p>
    <w:p w14:paraId="521FD518"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1566" w:history="1">
        <w:r>
          <w:rPr>
            <w:rFonts w:ascii="KaiTi_GB2312" w:eastAsia="KaiTi_GB2312" w:hAnsi="KaiTi_GB2312" w:cs="KaiTi_GB2312" w:hint="eastAsia"/>
            <w:sz w:val="28"/>
            <w:szCs w:val="28"/>
          </w:rPr>
          <w:t>（二）提高住宿餐饮服务品质，满足多层次需求</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_Toc11566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25</w:t>
        </w:r>
        <w:r>
          <w:rPr>
            <w:rFonts w:ascii="KaiTi_GB2312" w:eastAsia="KaiTi_GB2312" w:hAnsi="KaiTi_GB2312" w:cs="KaiTi_GB2312" w:hint="eastAsia"/>
            <w:sz w:val="28"/>
            <w:szCs w:val="28"/>
          </w:rPr>
          <w:fldChar w:fldCharType="end"/>
        </w:r>
      </w:hyperlink>
    </w:p>
    <w:p w14:paraId="2A3ED80E"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1227" w:history="1">
        <w:r>
          <w:rPr>
            <w:rFonts w:ascii="KaiTi_GB2312" w:eastAsia="KaiTi_GB2312" w:hAnsi="KaiTi_GB2312" w:cs="KaiTi_GB2312" w:hint="eastAsia"/>
            <w:sz w:val="28"/>
            <w:szCs w:val="28"/>
          </w:rPr>
          <w:t>（三）集聚优质教育服务，打造国际教育创新岛</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_Toc11227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w:t>
        </w:r>
        <w:r>
          <w:rPr>
            <w:rFonts w:ascii="KaiTi_GB2312" w:eastAsia="KaiTi_GB2312" w:hAnsi="KaiTi_GB2312" w:cs="KaiTi_GB2312" w:hint="eastAsia"/>
            <w:sz w:val="28"/>
            <w:szCs w:val="28"/>
          </w:rPr>
          <w:fldChar w:fldCharType="end"/>
        </w:r>
      </w:hyperlink>
      <w:r>
        <w:rPr>
          <w:rFonts w:ascii="KaiTi_GB2312" w:eastAsia="KaiTi_GB2312" w:hAnsi="KaiTi_GB2312" w:cs="KaiTi_GB2312"/>
          <w:sz w:val="28"/>
          <w:szCs w:val="28"/>
        </w:rPr>
        <w:t>6</w:t>
      </w:r>
    </w:p>
    <w:p w14:paraId="47F35EDD"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0407" w:history="1">
        <w:r>
          <w:rPr>
            <w:rFonts w:ascii="KaiTi_GB2312" w:eastAsia="KaiTi_GB2312" w:hAnsi="KaiTi_GB2312" w:cs="KaiTi_GB2312" w:hint="eastAsia"/>
            <w:sz w:val="28"/>
            <w:szCs w:val="28"/>
          </w:rPr>
          <w:t>（四）优化医疗康养服务，高标准建设国际健康岛</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_Toc20407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28</w:t>
        </w:r>
        <w:r>
          <w:rPr>
            <w:rFonts w:ascii="KaiTi_GB2312" w:eastAsia="KaiTi_GB2312" w:hAnsi="KaiTi_GB2312" w:cs="KaiTi_GB2312" w:hint="eastAsia"/>
            <w:sz w:val="28"/>
            <w:szCs w:val="28"/>
          </w:rPr>
          <w:fldChar w:fldCharType="end"/>
        </w:r>
      </w:hyperlink>
    </w:p>
    <w:p w14:paraId="5E8B0C97"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9935" w:history="1">
        <w:r>
          <w:rPr>
            <w:rFonts w:ascii="KaiTi_GB2312" w:eastAsia="KaiTi_GB2312" w:hAnsi="KaiTi_GB2312" w:cs="KaiTi_GB2312" w:hint="eastAsia"/>
            <w:sz w:val="28"/>
            <w:szCs w:val="28"/>
          </w:rPr>
          <w:t>（五）提升居民服务和公共服务水平，增进人民生活福祉</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_Toc29935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30</w:t>
        </w:r>
        <w:r>
          <w:rPr>
            <w:rFonts w:ascii="KaiTi_GB2312" w:eastAsia="KaiTi_GB2312" w:hAnsi="KaiTi_GB2312" w:cs="KaiTi_GB2312" w:hint="eastAsia"/>
            <w:sz w:val="28"/>
            <w:szCs w:val="28"/>
          </w:rPr>
          <w:fldChar w:fldCharType="end"/>
        </w:r>
      </w:hyperlink>
    </w:p>
    <w:p w14:paraId="176EE190" w14:textId="77777777" w:rsidR="00000000" w:rsidRDefault="00000000">
      <w:pPr>
        <w:pStyle w:val="TOC2"/>
        <w:tabs>
          <w:tab w:val="right" w:leader="dot" w:pos="8844"/>
        </w:tabs>
        <w:spacing w:line="360" w:lineRule="atLeast"/>
        <w:rPr>
          <w:rFonts w:ascii="FangSong_GB2312" w:eastAsia="FangSong_GB2312" w:hAnsi="FangSong_GB2312" w:cs="FangSong_GB2312" w:hint="eastAsia"/>
          <w:sz w:val="28"/>
          <w:szCs w:val="28"/>
        </w:rPr>
      </w:pPr>
      <w:hyperlink w:anchor="_Toc16787" w:history="1">
        <w:r>
          <w:rPr>
            <w:rFonts w:ascii="KaiTi_GB2312" w:eastAsia="KaiTi_GB2312" w:hAnsi="KaiTi_GB2312" w:cs="KaiTi_GB2312" w:hint="eastAsia"/>
            <w:sz w:val="28"/>
            <w:szCs w:val="28"/>
          </w:rPr>
          <w:t>（六）充分发挥房地产服务功能，持续提升海南城市宜居度</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_Toc16787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31</w:t>
        </w:r>
        <w:r>
          <w:rPr>
            <w:rFonts w:ascii="KaiTi_GB2312" w:eastAsia="KaiTi_GB2312" w:hAnsi="KaiTi_GB2312" w:cs="KaiTi_GB2312" w:hint="eastAsia"/>
            <w:sz w:val="28"/>
            <w:szCs w:val="28"/>
          </w:rPr>
          <w:fldChar w:fldCharType="end"/>
        </w:r>
      </w:hyperlink>
    </w:p>
    <w:p w14:paraId="13D00996" w14:textId="77777777" w:rsidR="00000000" w:rsidRDefault="00000000">
      <w:pPr>
        <w:pStyle w:val="TOC1"/>
        <w:tabs>
          <w:tab w:val="right" w:leader="dot" w:pos="8844"/>
        </w:tabs>
        <w:spacing w:line="360" w:lineRule="atLeast"/>
        <w:rPr>
          <w:rFonts w:ascii="SimHei" w:eastAsia="SimHei" w:hAnsi="SimHei" w:cs="SimHei" w:hint="eastAsia"/>
          <w:sz w:val="28"/>
          <w:szCs w:val="28"/>
        </w:rPr>
      </w:pPr>
      <w:hyperlink w:anchor="_Toc6832" w:history="1">
        <w:r>
          <w:rPr>
            <w:rFonts w:ascii="SimHei" w:eastAsia="SimHei" w:hAnsi="SimHei" w:cs="SimHei" w:hint="eastAsia"/>
            <w:sz w:val="28"/>
            <w:szCs w:val="28"/>
          </w:rPr>
          <w:t>四、扩大服务业对外开放</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_Toc6832 \h </w:instrText>
        </w:r>
        <w:r>
          <w:rPr>
            <w:rFonts w:ascii="SimHei" w:eastAsia="SimHei" w:hAnsi="SimHei" w:cs="SimHei" w:hint="eastAsia"/>
            <w:sz w:val="28"/>
            <w:szCs w:val="28"/>
          </w:rPr>
          <w:fldChar w:fldCharType="separate"/>
        </w:r>
        <w:r>
          <w:rPr>
            <w:rFonts w:ascii="SimHei" w:eastAsia="SimHei" w:hAnsi="SimHei" w:cs="SimHei" w:hint="eastAsia"/>
            <w:sz w:val="28"/>
            <w:szCs w:val="28"/>
          </w:rPr>
          <w:t>32</w:t>
        </w:r>
        <w:r>
          <w:rPr>
            <w:rFonts w:ascii="SimHei" w:eastAsia="SimHei" w:hAnsi="SimHei" w:cs="SimHei" w:hint="eastAsia"/>
            <w:sz w:val="28"/>
            <w:szCs w:val="28"/>
          </w:rPr>
          <w:fldChar w:fldCharType="end"/>
        </w:r>
      </w:hyperlink>
    </w:p>
    <w:p w14:paraId="2F0C82C7"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13928" w:history="1">
        <w:r>
          <w:rPr>
            <w:rFonts w:ascii="KaiTi_GB2312" w:eastAsia="KaiTi_GB2312" w:hAnsi="KaiTi_GB2312" w:cs="KaiTi_GB2312" w:hint="eastAsia"/>
            <w:sz w:val="28"/>
            <w:szCs w:val="28"/>
          </w:rPr>
          <w:t>（一）稳步扩大服务业制度型开放</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_Toc13928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32</w:t>
        </w:r>
        <w:r>
          <w:rPr>
            <w:rFonts w:ascii="KaiTi_GB2312" w:eastAsia="KaiTi_GB2312" w:hAnsi="KaiTi_GB2312" w:cs="KaiTi_GB2312" w:hint="eastAsia"/>
            <w:sz w:val="28"/>
            <w:szCs w:val="28"/>
          </w:rPr>
          <w:fldChar w:fldCharType="end"/>
        </w:r>
      </w:hyperlink>
    </w:p>
    <w:p w14:paraId="0E01EA7B"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391" w:history="1">
        <w:r>
          <w:rPr>
            <w:rFonts w:ascii="KaiTi_GB2312" w:eastAsia="KaiTi_GB2312" w:hAnsi="KaiTi_GB2312" w:cs="KaiTi_GB2312" w:hint="eastAsia"/>
            <w:sz w:val="28"/>
            <w:szCs w:val="28"/>
          </w:rPr>
          <w:t>（二）扎实推进服务业扩大开放综合试点</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_Toc391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32</w:t>
        </w:r>
        <w:r>
          <w:rPr>
            <w:rFonts w:ascii="KaiTi_GB2312" w:eastAsia="KaiTi_GB2312" w:hAnsi="KaiTi_GB2312" w:cs="KaiTi_GB2312" w:hint="eastAsia"/>
            <w:sz w:val="28"/>
            <w:szCs w:val="28"/>
          </w:rPr>
          <w:fldChar w:fldCharType="end"/>
        </w:r>
      </w:hyperlink>
    </w:p>
    <w:p w14:paraId="7A8D3085" w14:textId="77777777" w:rsidR="00000000" w:rsidRDefault="00000000">
      <w:pPr>
        <w:pStyle w:val="TOC1"/>
        <w:tabs>
          <w:tab w:val="right" w:leader="dot" w:pos="8844"/>
        </w:tabs>
        <w:spacing w:line="360" w:lineRule="atLeast"/>
        <w:rPr>
          <w:rFonts w:ascii="SimHei" w:eastAsia="SimHei" w:hAnsi="SimHei" w:cs="SimHei" w:hint="eastAsia"/>
          <w:sz w:val="28"/>
          <w:szCs w:val="28"/>
        </w:rPr>
      </w:pPr>
      <w:hyperlink w:anchor="_Toc19209" w:history="1">
        <w:r>
          <w:rPr>
            <w:rFonts w:ascii="SimHei" w:eastAsia="SimHei" w:hAnsi="SimHei" w:cs="SimHei" w:hint="eastAsia"/>
            <w:sz w:val="28"/>
            <w:szCs w:val="28"/>
          </w:rPr>
          <w:t>五、保障措施</w:t>
        </w:r>
        <w:r>
          <w:rPr>
            <w:rFonts w:ascii="SimHei" w:eastAsia="SimHei" w:hAnsi="SimHei" w:cs="SimHei" w:hint="eastAsia"/>
            <w:sz w:val="28"/>
            <w:szCs w:val="28"/>
          </w:rPr>
          <w:tab/>
        </w:r>
        <w:r>
          <w:rPr>
            <w:rFonts w:ascii="SimHei" w:eastAsia="SimHei" w:hAnsi="SimHei" w:cs="SimHei" w:hint="eastAsia"/>
            <w:sz w:val="28"/>
            <w:szCs w:val="28"/>
          </w:rPr>
          <w:fldChar w:fldCharType="begin"/>
        </w:r>
        <w:r>
          <w:rPr>
            <w:rFonts w:ascii="SimHei" w:eastAsia="SimHei" w:hAnsi="SimHei" w:cs="SimHei" w:hint="eastAsia"/>
            <w:sz w:val="28"/>
            <w:szCs w:val="28"/>
          </w:rPr>
          <w:instrText xml:space="preserve"> PAGEREF _Toc19209 \h </w:instrText>
        </w:r>
        <w:r>
          <w:rPr>
            <w:rFonts w:ascii="SimHei" w:eastAsia="SimHei" w:hAnsi="SimHei" w:cs="SimHei" w:hint="eastAsia"/>
            <w:sz w:val="28"/>
            <w:szCs w:val="28"/>
          </w:rPr>
          <w:fldChar w:fldCharType="separate"/>
        </w:r>
        <w:r>
          <w:rPr>
            <w:rFonts w:ascii="SimHei" w:eastAsia="SimHei" w:hAnsi="SimHei" w:cs="SimHei" w:hint="eastAsia"/>
            <w:sz w:val="28"/>
            <w:szCs w:val="28"/>
          </w:rPr>
          <w:t>3</w:t>
        </w:r>
        <w:r>
          <w:rPr>
            <w:rFonts w:ascii="SimHei" w:eastAsia="SimHei" w:hAnsi="SimHei" w:cs="SimHei" w:hint="eastAsia"/>
            <w:sz w:val="28"/>
            <w:szCs w:val="28"/>
          </w:rPr>
          <w:fldChar w:fldCharType="end"/>
        </w:r>
      </w:hyperlink>
      <w:r>
        <w:rPr>
          <w:rFonts w:ascii="SimHei" w:eastAsia="SimHei" w:hAnsi="SimHei" w:cs="SimHei"/>
          <w:sz w:val="28"/>
          <w:szCs w:val="28"/>
        </w:rPr>
        <w:t>2</w:t>
      </w:r>
    </w:p>
    <w:p w14:paraId="158B553B"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7381" w:history="1">
        <w:r>
          <w:rPr>
            <w:rFonts w:ascii="KaiTi_GB2312" w:eastAsia="KaiTi_GB2312" w:hAnsi="KaiTi_GB2312" w:cs="KaiTi_GB2312" w:hint="eastAsia"/>
            <w:sz w:val="28"/>
            <w:szCs w:val="28"/>
          </w:rPr>
          <w:t>（一）健全防控体系，保障服务业安全发展</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_Toc7381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33</w:t>
        </w:r>
        <w:r>
          <w:rPr>
            <w:rFonts w:ascii="KaiTi_GB2312" w:eastAsia="KaiTi_GB2312" w:hAnsi="KaiTi_GB2312" w:cs="KaiTi_GB2312" w:hint="eastAsia"/>
            <w:sz w:val="28"/>
            <w:szCs w:val="28"/>
          </w:rPr>
          <w:fldChar w:fldCharType="end"/>
        </w:r>
      </w:hyperlink>
    </w:p>
    <w:p w14:paraId="1D51761A"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0393" w:history="1">
        <w:r>
          <w:rPr>
            <w:rFonts w:ascii="KaiTi_GB2312" w:eastAsia="KaiTi_GB2312" w:hAnsi="KaiTi_GB2312" w:cs="KaiTi_GB2312" w:hint="eastAsia"/>
            <w:sz w:val="28"/>
            <w:szCs w:val="28"/>
          </w:rPr>
          <w:t>（二）强化统筹协调，优化服务业营商环境</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_Toc20393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33</w:t>
        </w:r>
        <w:r>
          <w:rPr>
            <w:rFonts w:ascii="KaiTi_GB2312" w:eastAsia="KaiTi_GB2312" w:hAnsi="KaiTi_GB2312" w:cs="KaiTi_GB2312" w:hint="eastAsia"/>
            <w:sz w:val="28"/>
            <w:szCs w:val="28"/>
          </w:rPr>
          <w:fldChar w:fldCharType="end"/>
        </w:r>
      </w:hyperlink>
    </w:p>
    <w:p w14:paraId="592C89BA"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5848" w:history="1">
        <w:r>
          <w:rPr>
            <w:rFonts w:ascii="KaiTi_GB2312" w:eastAsia="KaiTi_GB2312" w:hAnsi="KaiTi_GB2312" w:cs="KaiTi_GB2312" w:hint="eastAsia"/>
            <w:sz w:val="28"/>
            <w:szCs w:val="28"/>
          </w:rPr>
          <w:t>（三）聚焦产业需求，加强服务业人才支撑</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_Toc25848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33</w:t>
        </w:r>
        <w:r>
          <w:rPr>
            <w:rFonts w:ascii="KaiTi_GB2312" w:eastAsia="KaiTi_GB2312" w:hAnsi="KaiTi_GB2312" w:cs="KaiTi_GB2312" w:hint="eastAsia"/>
            <w:sz w:val="28"/>
            <w:szCs w:val="28"/>
          </w:rPr>
          <w:fldChar w:fldCharType="end"/>
        </w:r>
      </w:hyperlink>
    </w:p>
    <w:p w14:paraId="1CAC8CF3" w14:textId="77777777" w:rsidR="00000000" w:rsidRDefault="00000000">
      <w:pPr>
        <w:pStyle w:val="TOC2"/>
        <w:tabs>
          <w:tab w:val="right" w:leader="dot" w:pos="8844"/>
        </w:tabs>
        <w:spacing w:line="360" w:lineRule="atLeast"/>
        <w:rPr>
          <w:rFonts w:ascii="KaiTi_GB2312" w:eastAsia="KaiTi_GB2312" w:hAnsi="KaiTi_GB2312" w:cs="KaiTi_GB2312" w:hint="eastAsia"/>
          <w:sz w:val="28"/>
          <w:szCs w:val="28"/>
        </w:rPr>
      </w:pPr>
      <w:hyperlink w:anchor="_Toc26713" w:history="1">
        <w:r>
          <w:rPr>
            <w:rFonts w:ascii="KaiTi_GB2312" w:eastAsia="KaiTi_GB2312" w:hAnsi="KaiTi_GB2312" w:cs="KaiTi_GB2312" w:hint="eastAsia"/>
            <w:sz w:val="28"/>
            <w:szCs w:val="28"/>
          </w:rPr>
          <w:t>（四）落实产业政策，激发服务业市场活力</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_Toc26713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34</w:t>
        </w:r>
        <w:r>
          <w:rPr>
            <w:rFonts w:ascii="KaiTi_GB2312" w:eastAsia="KaiTi_GB2312" w:hAnsi="KaiTi_GB2312" w:cs="KaiTi_GB2312" w:hint="eastAsia"/>
            <w:sz w:val="28"/>
            <w:szCs w:val="28"/>
          </w:rPr>
          <w:fldChar w:fldCharType="end"/>
        </w:r>
      </w:hyperlink>
    </w:p>
    <w:p w14:paraId="22A7FABB" w14:textId="77777777" w:rsidR="00000000" w:rsidRDefault="00000000">
      <w:pPr>
        <w:pStyle w:val="TOC2"/>
        <w:tabs>
          <w:tab w:val="right" w:leader="dot" w:pos="8844"/>
        </w:tabs>
        <w:spacing w:line="360" w:lineRule="atLeast"/>
        <w:rPr>
          <w:rFonts w:ascii="KaiTi" w:eastAsia="KaiTi" w:hAnsi="KaiTi" w:cs="KaiTi" w:hint="eastAsia"/>
          <w:sz w:val="28"/>
          <w:szCs w:val="28"/>
        </w:rPr>
      </w:pPr>
      <w:hyperlink w:anchor="_Toc28219" w:history="1">
        <w:r>
          <w:rPr>
            <w:rFonts w:ascii="KaiTi_GB2312" w:eastAsia="KaiTi_GB2312" w:hAnsi="KaiTi_GB2312" w:cs="KaiTi_GB2312" w:hint="eastAsia"/>
            <w:sz w:val="28"/>
            <w:szCs w:val="28"/>
          </w:rPr>
          <w:t>（五）创新金融服务，增强服务业资金保障</w:t>
        </w:r>
        <w:r>
          <w:rPr>
            <w:rFonts w:ascii="KaiTi_GB2312" w:eastAsia="KaiTi_GB2312" w:hAnsi="KaiTi_GB2312" w:cs="KaiTi_GB2312" w:hint="eastAsia"/>
            <w:sz w:val="28"/>
            <w:szCs w:val="28"/>
          </w:rPr>
          <w:tab/>
        </w:r>
        <w:r>
          <w:rPr>
            <w:rFonts w:ascii="KaiTi_GB2312" w:eastAsia="KaiTi_GB2312" w:hAnsi="KaiTi_GB2312" w:cs="KaiTi_GB2312" w:hint="eastAsia"/>
            <w:sz w:val="28"/>
            <w:szCs w:val="28"/>
          </w:rPr>
          <w:fldChar w:fldCharType="begin"/>
        </w:r>
        <w:r>
          <w:rPr>
            <w:rFonts w:ascii="KaiTi_GB2312" w:eastAsia="KaiTi_GB2312" w:hAnsi="KaiTi_GB2312" w:cs="KaiTi_GB2312" w:hint="eastAsia"/>
            <w:sz w:val="28"/>
            <w:szCs w:val="28"/>
          </w:rPr>
          <w:instrText xml:space="preserve"> PAGEREF _Toc28219 \h </w:instrText>
        </w:r>
        <w:r>
          <w:rPr>
            <w:rFonts w:ascii="KaiTi_GB2312" w:eastAsia="KaiTi_GB2312" w:hAnsi="KaiTi_GB2312" w:cs="KaiTi_GB2312" w:hint="eastAsia"/>
            <w:sz w:val="28"/>
            <w:szCs w:val="28"/>
          </w:rPr>
          <w:fldChar w:fldCharType="separate"/>
        </w:r>
        <w:r>
          <w:rPr>
            <w:rFonts w:ascii="KaiTi_GB2312" w:eastAsia="KaiTi_GB2312" w:hAnsi="KaiTi_GB2312" w:cs="KaiTi_GB2312" w:hint="eastAsia"/>
            <w:sz w:val="28"/>
            <w:szCs w:val="28"/>
          </w:rPr>
          <w:t>34</w:t>
        </w:r>
        <w:r>
          <w:rPr>
            <w:rFonts w:ascii="KaiTi_GB2312" w:eastAsia="KaiTi_GB2312" w:hAnsi="KaiTi_GB2312" w:cs="KaiTi_GB2312" w:hint="eastAsia"/>
            <w:sz w:val="28"/>
            <w:szCs w:val="28"/>
          </w:rPr>
          <w:fldChar w:fldCharType="end"/>
        </w:r>
      </w:hyperlink>
    </w:p>
    <w:p w14:paraId="214A911B" w14:textId="77777777" w:rsidR="00000000" w:rsidRDefault="00000000">
      <w:pPr>
        <w:pStyle w:val="TOC1"/>
        <w:tabs>
          <w:tab w:val="right" w:leader="dot" w:pos="8306"/>
        </w:tabs>
        <w:spacing w:beforeLines="20" w:before="62" w:afterLines="20" w:after="62" w:line="360" w:lineRule="atLeast"/>
        <w:rPr>
          <w:rFonts w:ascii="KaiTi" w:eastAsia="KaiTi" w:hAnsi="KaiTi" w:cs="KaiTi" w:hint="eastAsia"/>
          <w:sz w:val="28"/>
          <w:szCs w:val="28"/>
        </w:rPr>
      </w:pPr>
      <w:r>
        <w:rPr>
          <w:rFonts w:ascii="KaiTi" w:eastAsia="KaiTi" w:hAnsi="KaiTi" w:cs="KaiTi" w:hint="eastAsia"/>
          <w:sz w:val="28"/>
          <w:szCs w:val="28"/>
        </w:rPr>
        <w:fldChar w:fldCharType="end"/>
      </w:r>
    </w:p>
    <w:p w14:paraId="44AD82FD" w14:textId="77777777" w:rsidR="00000000" w:rsidRDefault="00000000">
      <w:pPr>
        <w:spacing w:line="360" w:lineRule="atLeast"/>
        <w:ind w:firstLineChars="200" w:firstLine="560"/>
        <w:outlineLvl w:val="0"/>
        <w:rPr>
          <w:rFonts w:ascii="KaiTi" w:eastAsia="KaiTi" w:hAnsi="KaiTi" w:cs="KaiTi" w:hint="eastAsia"/>
          <w:sz w:val="28"/>
          <w:szCs w:val="28"/>
        </w:rPr>
        <w:sectPr w:rsidR="00000000">
          <w:footerReference w:type="default" r:id="rId7"/>
          <w:pgSz w:w="11906" w:h="16838"/>
          <w:pgMar w:top="1928" w:right="1531" w:bottom="1701" w:left="1531" w:header="851" w:footer="1247" w:gutter="0"/>
          <w:pgNumType w:fmt="numberInDash"/>
          <w:cols w:space="720"/>
          <w:docGrid w:type="lines" w:linePitch="312"/>
        </w:sectPr>
      </w:pPr>
    </w:p>
    <w:p w14:paraId="4F86F701" w14:textId="77777777" w:rsidR="00000000" w:rsidRDefault="00000000">
      <w:pPr>
        <w:overflowPunct w:val="0"/>
        <w:adjustRightInd w:val="0"/>
        <w:snapToGrid w:val="0"/>
        <w:spacing w:line="600" w:lineRule="exact"/>
        <w:jc w:val="center"/>
        <w:outlineLvl w:val="0"/>
        <w:rPr>
          <w:rFonts w:eastAsia="方正小标宋_GBK" w:cs="方正小标宋_GBK" w:hint="eastAsia"/>
          <w:bCs/>
          <w:kern w:val="44"/>
          <w:sz w:val="40"/>
          <w:szCs w:val="40"/>
        </w:rPr>
      </w:pPr>
      <w:bookmarkStart w:id="0" w:name="_Toc767"/>
      <w:bookmarkStart w:id="1" w:name="_Toc254"/>
      <w:bookmarkStart w:id="2" w:name="_Toc31974"/>
      <w:r>
        <w:rPr>
          <w:rFonts w:eastAsia="方正小标宋_GBK" w:cs="方正小标宋_GBK" w:hint="eastAsia"/>
          <w:bCs/>
          <w:kern w:val="44"/>
          <w:sz w:val="40"/>
          <w:szCs w:val="40"/>
        </w:rPr>
        <w:lastRenderedPageBreak/>
        <w:t>序</w:t>
      </w:r>
      <w:r>
        <w:rPr>
          <w:rFonts w:eastAsia="方正小标宋_GBK" w:cs="方正小标宋_GBK" w:hint="eastAsia"/>
          <w:bCs/>
          <w:kern w:val="44"/>
          <w:sz w:val="40"/>
          <w:szCs w:val="40"/>
        </w:rPr>
        <w:t xml:space="preserve">  </w:t>
      </w:r>
      <w:r>
        <w:rPr>
          <w:rFonts w:eastAsia="方正小标宋_GBK" w:cs="方正小标宋_GBK" w:hint="eastAsia"/>
          <w:bCs/>
          <w:kern w:val="44"/>
          <w:sz w:val="40"/>
          <w:szCs w:val="40"/>
        </w:rPr>
        <w:t>言</w:t>
      </w:r>
      <w:bookmarkEnd w:id="0"/>
      <w:bookmarkEnd w:id="1"/>
    </w:p>
    <w:p w14:paraId="07BECC11" w14:textId="77777777" w:rsidR="00000000" w:rsidRDefault="00000000">
      <w:pPr>
        <w:spacing w:line="500" w:lineRule="exact"/>
        <w:ind w:firstLineChars="200" w:firstLine="640"/>
        <w:rPr>
          <w:rFonts w:eastAsia="FangSong_GB2312" w:cs="FangSong_GB2312" w:hint="eastAsia"/>
          <w:kern w:val="0"/>
          <w:sz w:val="32"/>
          <w:szCs w:val="32"/>
        </w:rPr>
      </w:pPr>
    </w:p>
    <w:p w14:paraId="3DA74E77" w14:textId="77777777" w:rsidR="00000000" w:rsidRDefault="00000000">
      <w:pPr>
        <w:overflowPunct w:val="0"/>
        <w:spacing w:line="60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2025年12月18日海南自贸港正式启动全岛封关，标志着海南自由贸易港建设进入全新发展阶段。“十五五”时期是高标准建设自贸港夯基垒台、跨越发展的关键时期。本规划坚持以习近平新时代中国特色社会主义思想为指导，完整准确全面贯彻新发展理念，突出需求牵引、改革攻坚、科技赋能、开放合作，深入实施服务业扩能提质行动，围绕居民日常生活需要、对高品质生活的追求、多样化消费需求、研发设计专业化和高端化、生产环节价值提升、市场价值实现等六个重点，加快构建现代服务业体系，塑造具有国际竞争力的“海南服务”品牌，为高标准建设海南自贸港提供有力支撑。</w:t>
      </w:r>
    </w:p>
    <w:p w14:paraId="5679FE1A" w14:textId="77777777" w:rsidR="00000000" w:rsidRDefault="00000000">
      <w:pPr>
        <w:overflowPunct w:val="0"/>
        <w:spacing w:line="60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本规划依据《海南自由贸易港建设总体方案》《中共海南省委关于制定国民经济和社会发展第十五个五年规划的建议》《海南省国民经济和社会发展第十五个五年规划纲要》，衔接服务业相关行业专项规划，是各市县政府、行业主管部门、经营主体实施服务业相关工作的行动指引。</w:t>
      </w:r>
    </w:p>
    <w:p w14:paraId="2116013E" w14:textId="77777777" w:rsidR="00000000" w:rsidRDefault="00000000">
      <w:pPr>
        <w:overflowPunct w:val="0"/>
        <w:spacing w:line="60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本规划实施期限为2026年至2030年。</w:t>
      </w:r>
    </w:p>
    <w:p w14:paraId="643A5A2C" w14:textId="77777777" w:rsidR="00000000" w:rsidRDefault="00000000">
      <w:pPr>
        <w:spacing w:line="560" w:lineRule="exact"/>
        <w:rPr>
          <w:rFonts w:eastAsia="FangSong_GB2312" w:cs="FangSong_GB2312" w:hint="eastAsia"/>
        </w:rPr>
        <w:sectPr w:rsidR="00000000">
          <w:footerReference w:type="default" r:id="rId8"/>
          <w:pgSz w:w="11906" w:h="16838"/>
          <w:pgMar w:top="1928" w:right="1531" w:bottom="1701" w:left="1531" w:header="851" w:footer="1247" w:gutter="0"/>
          <w:pgNumType w:start="1"/>
          <w:cols w:space="720"/>
          <w:docGrid w:type="lines" w:linePitch="312"/>
        </w:sectPr>
      </w:pPr>
    </w:p>
    <w:p w14:paraId="2DA24219" w14:textId="77777777" w:rsidR="00000000" w:rsidRDefault="00000000">
      <w:pPr>
        <w:overflowPunct w:val="0"/>
        <w:spacing w:line="600" w:lineRule="exact"/>
        <w:ind w:firstLineChars="200" w:firstLine="640"/>
        <w:outlineLvl w:val="0"/>
        <w:rPr>
          <w:rFonts w:eastAsia="SimHei" w:cs="SimHei"/>
          <w:sz w:val="32"/>
          <w:szCs w:val="32"/>
        </w:rPr>
      </w:pPr>
      <w:bookmarkStart w:id="3" w:name="_Toc21635"/>
      <w:r>
        <w:rPr>
          <w:rFonts w:eastAsia="SimHei" w:cs="SimHei" w:hint="eastAsia"/>
          <w:sz w:val="32"/>
          <w:szCs w:val="32"/>
        </w:rPr>
        <w:lastRenderedPageBreak/>
        <w:t>一、海南服务业现状与总体要求</w:t>
      </w:r>
      <w:bookmarkEnd w:id="2"/>
      <w:bookmarkEnd w:id="3"/>
    </w:p>
    <w:p w14:paraId="44CE7314" w14:textId="77777777" w:rsidR="00000000" w:rsidRDefault="00000000">
      <w:pPr>
        <w:pStyle w:val="Heading2"/>
        <w:keepNext w:val="0"/>
        <w:keepLines w:val="0"/>
        <w:overflowPunct w:val="0"/>
        <w:spacing w:line="600" w:lineRule="exact"/>
        <w:jc w:val="both"/>
        <w:rPr>
          <w:rFonts w:ascii="KaiTi_GB2312" w:eastAsia="KaiTi_GB2312" w:hAnsi="KaiTi_GB2312" w:cs="KaiTi_GB2312" w:hint="eastAsia"/>
          <w:b w:val="0"/>
          <w:bCs/>
        </w:rPr>
      </w:pPr>
      <w:bookmarkStart w:id="4" w:name="_Toc294"/>
      <w:bookmarkStart w:id="5" w:name="_Toc22926"/>
      <w:r>
        <w:rPr>
          <w:rFonts w:ascii="KaiTi_GB2312" w:eastAsia="KaiTi_GB2312" w:hAnsi="KaiTi_GB2312" w:cs="KaiTi_GB2312" w:hint="eastAsia"/>
          <w:b w:val="0"/>
          <w:bCs/>
        </w:rPr>
        <w:t>（一）“十四五”时期海南服务业发展取得的成就</w:t>
      </w:r>
      <w:bookmarkEnd w:id="4"/>
      <w:bookmarkEnd w:id="5"/>
      <w:r>
        <w:rPr>
          <w:rFonts w:ascii="KaiTi_GB2312" w:eastAsia="KaiTi_GB2312" w:hAnsi="KaiTi_GB2312" w:cs="KaiTi_GB2312" w:hint="eastAsia"/>
          <w:b w:val="0"/>
          <w:bCs/>
        </w:rPr>
        <w:t>。</w:t>
      </w:r>
    </w:p>
    <w:p w14:paraId="3F21905F"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服务业规模持续扩大。</w:t>
      </w:r>
      <w:r>
        <w:rPr>
          <w:rFonts w:ascii="FangSong_GB2312" w:eastAsia="FangSong_GB2312" w:hAnsi="FangSong_GB2312" w:cs="FangSong_GB2312" w:hint="eastAsia"/>
          <w:sz w:val="32"/>
          <w:szCs w:val="32"/>
        </w:rPr>
        <w:t>全省服务业增加值年均增速6.9%，占全省GDP比重突破60%；现代服务业增加值年均增速11.4%，占GDP比重27.5%，成为拉动增长的核心引擎。全国首张跨境服务贸易负面清单实施，外资准入负面清单全国最短，经济外向度提升至4</w:t>
      </w:r>
      <w:r>
        <w:rPr>
          <w:rFonts w:ascii="FangSong_GB2312" w:eastAsia="FangSong_GB2312" w:hAnsi="FangSong_GB2312" w:cs="FangSong_GB2312"/>
          <w:sz w:val="32"/>
          <w:szCs w:val="32"/>
        </w:rPr>
        <w:t>2.6</w:t>
      </w:r>
      <w:r>
        <w:rPr>
          <w:rFonts w:ascii="FangSong_GB2312" w:eastAsia="FangSong_GB2312" w:hAnsi="FangSong_GB2312" w:cs="FangSong_GB2312" w:hint="eastAsia"/>
          <w:sz w:val="32"/>
          <w:szCs w:val="32"/>
        </w:rPr>
        <w:t>%，以对外开放为引领的服务业发展格局初步形成。</w:t>
      </w:r>
    </w:p>
    <w:p w14:paraId="05AC58A5"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生产性服务业提质增效。</w:t>
      </w:r>
      <w:r>
        <w:rPr>
          <w:rFonts w:ascii="FangSong_GB2312" w:eastAsia="FangSong_GB2312" w:hAnsi="FangSong_GB2312" w:cs="FangSong_GB2312" w:hint="eastAsia"/>
          <w:sz w:val="32"/>
          <w:szCs w:val="32"/>
        </w:rPr>
        <w:t>金融业增加值年均增速8.4%，多功能自由贸易账户（EF账户）体系上线运行。信息软件业增加值年均增速9.9%，数据出境实现负面清单管理。“中国洋浦港”船籍港国际船舶登记数量和运力规模居全国自贸港（区）首位。</w:t>
      </w:r>
    </w:p>
    <w:p w14:paraId="3FD15409"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生活性服务业供给升级。</w:t>
      </w:r>
      <w:r>
        <w:rPr>
          <w:rFonts w:ascii="FangSong_GB2312" w:eastAsia="FangSong_GB2312" w:hAnsi="FangSong_GB2312" w:cs="FangSong_GB2312" w:hint="eastAsia"/>
          <w:sz w:val="32"/>
          <w:szCs w:val="32"/>
        </w:rPr>
        <w:t>2025年接待国内外游客1.</w:t>
      </w:r>
      <w:r>
        <w:rPr>
          <w:rFonts w:ascii="FangSong_GB2312" w:eastAsia="FangSong_GB2312" w:hAnsi="FangSong_GB2312" w:cs="FangSong_GB2312"/>
          <w:sz w:val="32"/>
          <w:szCs w:val="32"/>
        </w:rPr>
        <w:t>1</w:t>
      </w:r>
      <w:r>
        <w:rPr>
          <w:rFonts w:ascii="FangSong_GB2312" w:eastAsia="FangSong_GB2312" w:hAnsi="FangSong_GB2312" w:cs="FangSong_GB2312" w:hint="eastAsia"/>
          <w:sz w:val="32"/>
          <w:szCs w:val="32"/>
        </w:rPr>
        <w:t>亿人次，旅游总花费2254.3亿元。社区、养老等民生服务业态不断丰富，覆盖城乡“15分钟养老服务圈”基本形成，95%以上的养老机构提供医养结合服务。</w:t>
      </w:r>
    </w:p>
    <w:p w14:paraId="5C91A98C"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形成优势服务品牌。</w:t>
      </w:r>
      <w:r>
        <w:rPr>
          <w:rFonts w:ascii="FangSong_GB2312" w:eastAsia="FangSong_GB2312" w:hAnsi="FangSong_GB2312" w:cs="FangSong_GB2312" w:hint="eastAsia"/>
          <w:sz w:val="32"/>
          <w:szCs w:val="32"/>
        </w:rPr>
        <w:t>离岛免税购物政策更加开放便利，累计销售额2592.6亿元，年均增速近30%，占全球免税市场比重超8%。博鳌乐城国际医疗旅游先行区累计引进特许药械、特医食品和保健食品552款，开业运营医疗机构达42家，2025年接待医疗旅游人次超86万，成为国际医疗服务和技术进入中国市场的重要门户。累计签约引进48所中外知名高校，陵水黎安国</w:t>
      </w:r>
      <w:r>
        <w:rPr>
          <w:rFonts w:ascii="FangSong_GB2312" w:eastAsia="FangSong_GB2312" w:hAnsi="FangSong_GB2312" w:cs="FangSong_GB2312" w:hint="eastAsia"/>
          <w:sz w:val="32"/>
          <w:szCs w:val="32"/>
        </w:rPr>
        <w:lastRenderedPageBreak/>
        <w:t>际教育创新试验区师生过万人。</w:t>
      </w:r>
    </w:p>
    <w:p w14:paraId="5B223640"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6" w:name="_Toc23487"/>
      <w:bookmarkStart w:id="7" w:name="_Toc6336"/>
      <w:bookmarkStart w:id="8" w:name="_Toc32685"/>
      <w:bookmarkStart w:id="9" w:name="_Toc30941"/>
      <w:bookmarkStart w:id="10" w:name="_Toc3313"/>
      <w:bookmarkStart w:id="11" w:name="_Toc15734"/>
      <w:bookmarkStart w:id="12" w:name="_Toc2999"/>
      <w:bookmarkStart w:id="13" w:name="_Toc19421"/>
      <w:bookmarkStart w:id="14" w:name="_Toc27506"/>
      <w:bookmarkStart w:id="15" w:name="_Toc21876"/>
      <w:bookmarkStart w:id="16" w:name="_Toc2927"/>
      <w:bookmarkStart w:id="17" w:name="_Toc14188"/>
      <w:bookmarkStart w:id="18" w:name="_Toc18735"/>
      <w:bookmarkStart w:id="19" w:name="_Toc32302"/>
      <w:bookmarkStart w:id="20" w:name="_Toc5603"/>
      <w:bookmarkStart w:id="21" w:name="_Toc17810"/>
      <w:r>
        <w:rPr>
          <w:rFonts w:eastAsia="KaiTi_GB2312" w:cs="KaiTi_GB2312" w:hint="eastAsia"/>
          <w:sz w:val="32"/>
          <w:szCs w:val="32"/>
        </w:rPr>
        <w:t>（二）“十五五”时期海南服务业发展面临的形势</w:t>
      </w:r>
      <w:bookmarkEnd w:id="19"/>
      <w:bookmarkEnd w:id="20"/>
      <w:bookmarkEnd w:id="21"/>
      <w:r>
        <w:rPr>
          <w:rFonts w:eastAsia="KaiTi_GB2312" w:cs="KaiTi_GB2312" w:hint="eastAsia"/>
          <w:sz w:val="32"/>
          <w:szCs w:val="32"/>
        </w:rPr>
        <w:t>。</w:t>
      </w:r>
    </w:p>
    <w:p w14:paraId="4A881FA6"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22" w:name="_Toc18862"/>
      <w:bookmarkStart w:id="23" w:name="_Toc17830"/>
      <w:r>
        <w:rPr>
          <w:rFonts w:ascii="FangSong_GB2312" w:eastAsia="FangSong_GB2312" w:hAnsi="FangSong_GB2312" w:cs="FangSong_GB2312" w:hint="eastAsia"/>
          <w:b/>
          <w:bCs/>
          <w:sz w:val="32"/>
          <w:szCs w:val="32"/>
        </w:rPr>
        <w:t>1.“十五五”时期国内外总体发展形势</w:t>
      </w:r>
      <w:bookmarkEnd w:id="22"/>
      <w:bookmarkEnd w:id="23"/>
      <w:r>
        <w:rPr>
          <w:rFonts w:ascii="FangSong_GB2312" w:eastAsia="FangSong_GB2312" w:hAnsi="FangSong_GB2312" w:cs="FangSong_GB2312" w:hint="eastAsia"/>
          <w:b/>
          <w:bCs/>
          <w:sz w:val="32"/>
          <w:szCs w:val="32"/>
        </w:rPr>
        <w:t>。</w:t>
      </w:r>
    </w:p>
    <w:p w14:paraId="6332FA72"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从国际环境看，</w:t>
      </w:r>
      <w:r>
        <w:rPr>
          <w:rFonts w:ascii="FangSong_GB2312" w:eastAsia="FangSong_GB2312" w:hAnsi="FangSong_GB2312" w:cs="FangSong_GB2312" w:hint="eastAsia"/>
          <w:sz w:val="32"/>
          <w:szCs w:val="32"/>
        </w:rPr>
        <w:t>一方面，全球增长动能减弱，产业链供应链呈现区域化调整趋势，对海南服务业深度融入全球价值链、扩大服务贸易提出了更高要求。另一方面，新一轮科技革命和产业变革加速突破，人工智能、大数据、元宇宙、量子信息、脑机接口、具身智能等新技术正催生服务业新业态、新模式和新赛道。全球科技竞争日趋激烈，围绕关键领域的技术竞争格局深刻演变，海南服务业在扩大开放中需要关注创新，掌握发展主动权。</w:t>
      </w:r>
    </w:p>
    <w:p w14:paraId="35BECAC5"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从国内形势看，</w:t>
      </w:r>
      <w:r>
        <w:rPr>
          <w:rFonts w:ascii="FangSong_GB2312" w:eastAsia="FangSong_GB2312" w:hAnsi="FangSong_GB2312" w:cs="FangSong_GB2312" w:hint="eastAsia"/>
          <w:sz w:val="32"/>
          <w:szCs w:val="32"/>
        </w:rPr>
        <w:t>一方面，我国经济韧性强、潜力大、基本面长期向好，国内超大规模的市场优势和完备的产业体系为海南建设“国内国际双循环”重要交汇点提供了强大的腹地支撑和动力源。另一方面，全国经济转型升级，服务业扩能提质，“十五五”期间我国将发挥服务业在经济发展中的重要作用，提升产业附加值，建设现代化产业体系，发展新质生产力，带动海南服务业发展进入全新阶段。</w:t>
      </w:r>
    </w:p>
    <w:p w14:paraId="7375BBDC"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24" w:name="_Toc10402"/>
      <w:r>
        <w:rPr>
          <w:rFonts w:ascii="FangSong_GB2312" w:eastAsia="FangSong_GB2312" w:hAnsi="FangSong_GB2312" w:cs="FangSong_GB2312" w:hint="eastAsia"/>
          <w:b/>
          <w:bCs/>
          <w:sz w:val="32"/>
          <w:szCs w:val="32"/>
        </w:rPr>
        <w:t>2.“十五五”时期海南服务业发展优势</w:t>
      </w:r>
      <w:bookmarkEnd w:id="24"/>
      <w:r>
        <w:rPr>
          <w:rFonts w:ascii="FangSong_GB2312" w:eastAsia="FangSong_GB2312" w:hAnsi="FangSong_GB2312" w:cs="FangSong_GB2312" w:hint="eastAsia"/>
          <w:b/>
          <w:bCs/>
          <w:sz w:val="32"/>
          <w:szCs w:val="32"/>
        </w:rPr>
        <w:t>。</w:t>
      </w:r>
    </w:p>
    <w:p w14:paraId="06B4CE07"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自贸港制度优势。</w:t>
      </w:r>
      <w:r>
        <w:rPr>
          <w:rFonts w:ascii="FangSong_GB2312" w:eastAsia="FangSong_GB2312" w:hAnsi="FangSong_GB2312" w:cs="FangSong_GB2312" w:hint="eastAsia"/>
          <w:sz w:val="32"/>
          <w:szCs w:val="32"/>
        </w:rPr>
        <w:t>“十五五”时期正值海南自贸港封关运作、</w:t>
      </w:r>
      <w:r>
        <w:rPr>
          <w:rFonts w:ascii="FangSong_GB2312" w:eastAsia="FangSong_GB2312" w:hAnsi="FangSong_GB2312" w:cs="FangSong_GB2312" w:hint="eastAsia"/>
          <w:kern w:val="0"/>
          <w:sz w:val="32"/>
          <w:szCs w:val="32"/>
        </w:rPr>
        <w:t>夯基垒台、跨越发展的关键时期。</w:t>
      </w:r>
      <w:r>
        <w:rPr>
          <w:rFonts w:ascii="FangSong_GB2312" w:eastAsia="FangSong_GB2312" w:hAnsi="FangSong_GB2312" w:cs="FangSong_GB2312" w:hint="eastAsia"/>
          <w:sz w:val="32"/>
          <w:szCs w:val="32"/>
        </w:rPr>
        <w:t>“零关税、低税率”和“贸易、投资、跨境资金流动、人员进出、运输来往自由便利以及数据安全有序流动”为主要特征的自由贸易港政策制度体系，为服务业</w:t>
      </w:r>
      <w:r>
        <w:rPr>
          <w:rFonts w:ascii="FangSong_GB2312" w:eastAsia="FangSong_GB2312" w:hAnsi="FangSong_GB2312" w:cs="FangSong_GB2312" w:hint="eastAsia"/>
          <w:sz w:val="32"/>
          <w:szCs w:val="32"/>
        </w:rPr>
        <w:lastRenderedPageBreak/>
        <w:t>发展提供了制度优势。</w:t>
      </w:r>
    </w:p>
    <w:p w14:paraId="6150939F"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制度型开放优势。</w:t>
      </w:r>
      <w:r>
        <w:rPr>
          <w:rFonts w:ascii="FangSong_GB2312" w:eastAsia="FangSong_GB2312" w:hAnsi="FangSong_GB2312" w:cs="FangSong_GB2312" w:hint="eastAsia"/>
          <w:sz w:val="32"/>
          <w:szCs w:val="32"/>
        </w:rPr>
        <w:t>“十五五”时期，海南将深入实施服务业扩大开放综合试点、跨境服务贸易负面清单、外商投资准入负面清单等开放性政策和制度安排，为服务业高质量发展提供抓手和平台。</w:t>
      </w:r>
    </w:p>
    <w:p w14:paraId="6B3C13A0"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现代化产业体系的优势。</w:t>
      </w:r>
      <w:r>
        <w:rPr>
          <w:rFonts w:ascii="FangSong_GB2312" w:eastAsia="FangSong_GB2312" w:hAnsi="FangSong_GB2312" w:cs="FangSong_GB2312" w:hint="eastAsia"/>
          <w:sz w:val="32"/>
          <w:szCs w:val="32"/>
        </w:rPr>
        <w:t>海南服务业占地区生产总值比重长期高于全国平均水平，“十五五”时期全省推动形成“45432”发展架构，为服务业发展提供优质的产业生态环境。</w:t>
      </w:r>
    </w:p>
    <w:p w14:paraId="7AC9CB4C"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综合来看，海南服务业发展机遇前所未有，挑战亦十分严峻，需统筹做优增量和盘活存量，深入实施服务业扩能提质行动，破除制约服务业发展的体制机制障碍，切实将政策优势转化为产业优势、竞争胜势，为全国更高水平、更深层次的改革开放探路，为加快建设现代化产业体系提供支撑。</w:t>
      </w:r>
    </w:p>
    <w:p w14:paraId="2A890B49"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25" w:name="_Toc20787"/>
      <w:bookmarkStart w:id="26" w:name="_Toc6219"/>
      <w:r>
        <w:rPr>
          <w:rFonts w:eastAsia="KaiTi_GB2312" w:cs="KaiTi_GB2312" w:hint="eastAsia"/>
          <w:sz w:val="32"/>
          <w:szCs w:val="32"/>
        </w:rPr>
        <w:t>（三）</w:t>
      </w:r>
      <w:bookmarkEnd w:id="6"/>
      <w:bookmarkEnd w:id="7"/>
      <w:bookmarkEnd w:id="8"/>
      <w:bookmarkEnd w:id="9"/>
      <w:bookmarkEnd w:id="10"/>
      <w:bookmarkEnd w:id="11"/>
      <w:bookmarkEnd w:id="12"/>
      <w:bookmarkEnd w:id="13"/>
      <w:bookmarkEnd w:id="14"/>
      <w:bookmarkEnd w:id="15"/>
      <w:bookmarkEnd w:id="16"/>
      <w:bookmarkEnd w:id="17"/>
      <w:bookmarkEnd w:id="18"/>
      <w:r>
        <w:rPr>
          <w:rFonts w:eastAsia="KaiTi_GB2312" w:cs="KaiTi_GB2312" w:hint="eastAsia"/>
          <w:sz w:val="32"/>
          <w:szCs w:val="32"/>
        </w:rPr>
        <w:t>“十五五”时期海南服务业发展的总体要求</w:t>
      </w:r>
      <w:bookmarkEnd w:id="25"/>
      <w:bookmarkEnd w:id="26"/>
      <w:r>
        <w:rPr>
          <w:rFonts w:eastAsia="KaiTi_GB2312" w:cs="KaiTi_GB2312" w:hint="eastAsia"/>
          <w:sz w:val="32"/>
          <w:szCs w:val="32"/>
        </w:rPr>
        <w:t>。</w:t>
      </w:r>
    </w:p>
    <w:p w14:paraId="6682BFEA"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27" w:name="_Toc10723"/>
      <w:bookmarkStart w:id="28" w:name="_Toc9770"/>
      <w:r>
        <w:rPr>
          <w:rFonts w:ascii="FangSong_GB2312" w:eastAsia="FangSong_GB2312" w:hAnsi="FangSong_GB2312" w:cs="FangSong_GB2312" w:hint="eastAsia"/>
          <w:b/>
          <w:bCs/>
          <w:sz w:val="32"/>
          <w:szCs w:val="32"/>
        </w:rPr>
        <w:t>1.指导思想</w:t>
      </w:r>
      <w:bookmarkEnd w:id="27"/>
      <w:bookmarkEnd w:id="28"/>
      <w:r>
        <w:rPr>
          <w:rFonts w:ascii="FangSong_GB2312" w:eastAsia="FangSong_GB2312" w:hAnsi="FangSong_GB2312" w:cs="FangSong_GB2312" w:hint="eastAsia"/>
          <w:b/>
          <w:bCs/>
          <w:sz w:val="32"/>
          <w:szCs w:val="32"/>
        </w:rPr>
        <w:t>。</w:t>
      </w:r>
    </w:p>
    <w:p w14:paraId="41097064"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以习近平新时代中国特色社会主义思想为指导，全面贯彻党的二十大和二十届历次全会精神，</w:t>
      </w:r>
      <w:r>
        <w:rPr>
          <w:rFonts w:ascii="FangSong_GB2312" w:eastAsia="FangSong_GB2312" w:hAnsi="FangSong_GB2312" w:cs="FangSong_GB2312" w:hint="eastAsia"/>
          <w:kern w:val="0"/>
          <w:sz w:val="32"/>
          <w:szCs w:val="32"/>
        </w:rPr>
        <w:t>完整准确全面贯彻新发展理念，突出需求牵引、改革攻坚、科技赋能、开放合作，深入实施服务业扩能提质行动，</w:t>
      </w:r>
      <w:r>
        <w:rPr>
          <w:rFonts w:ascii="FangSong_GB2312" w:eastAsia="FangSong_GB2312" w:hAnsi="FangSong_GB2312" w:cs="FangSong_GB2312" w:hint="eastAsia"/>
          <w:kern w:val="0"/>
          <w:sz w:val="32"/>
          <w:szCs w:val="32"/>
          <w:lang w:bidi="ar"/>
        </w:rPr>
        <w:t>围绕居民日常生活需要、居民对高品质生活的追求、居民多样化消费需求、研发设计专业化和高端化、生产环节价值提升、市场价值实现等六个重点，</w:t>
      </w:r>
      <w:r>
        <w:rPr>
          <w:rFonts w:ascii="FangSong_GB2312" w:eastAsia="FangSong_GB2312" w:hAnsi="FangSong_GB2312" w:cs="FangSong_GB2312" w:hint="eastAsia"/>
          <w:sz w:val="32"/>
          <w:szCs w:val="32"/>
        </w:rPr>
        <w:t>培育“海南服务”品牌，构建与内地市场深度互补、与国际高标准经贸规则顺畅接</w:t>
      </w:r>
      <w:r>
        <w:rPr>
          <w:rFonts w:ascii="FangSong_GB2312" w:eastAsia="FangSong_GB2312" w:hAnsi="FangSong_GB2312" w:cs="FangSong_GB2312" w:hint="eastAsia"/>
          <w:sz w:val="32"/>
          <w:szCs w:val="32"/>
        </w:rPr>
        <w:lastRenderedPageBreak/>
        <w:t>轨的开放型现代服务业生态。</w:t>
      </w:r>
    </w:p>
    <w:p w14:paraId="222973E3"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29" w:name="_Toc1591"/>
      <w:bookmarkStart w:id="30" w:name="_Toc5086"/>
      <w:r>
        <w:rPr>
          <w:rFonts w:ascii="FangSong_GB2312" w:eastAsia="FangSong_GB2312" w:hAnsi="FangSong_GB2312" w:cs="FangSong_GB2312" w:hint="eastAsia"/>
          <w:b/>
          <w:bCs/>
          <w:sz w:val="32"/>
          <w:szCs w:val="32"/>
        </w:rPr>
        <w:t>2.基本原则</w:t>
      </w:r>
      <w:bookmarkEnd w:id="29"/>
      <w:bookmarkEnd w:id="30"/>
      <w:r>
        <w:rPr>
          <w:rFonts w:ascii="FangSong_GB2312" w:eastAsia="FangSong_GB2312" w:hAnsi="FangSong_GB2312" w:cs="FangSong_GB2312" w:hint="eastAsia"/>
          <w:b/>
          <w:bCs/>
          <w:sz w:val="32"/>
          <w:szCs w:val="32"/>
        </w:rPr>
        <w:t>。</w:t>
      </w:r>
    </w:p>
    <w:p w14:paraId="2B4F90DA"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坚持需求牵引，提质增效。</w:t>
      </w:r>
      <w:r>
        <w:rPr>
          <w:rFonts w:ascii="FangSong_GB2312" w:eastAsia="FangSong_GB2312" w:hAnsi="FangSong_GB2312" w:cs="FangSong_GB2312" w:hint="eastAsia"/>
          <w:sz w:val="32"/>
          <w:szCs w:val="32"/>
        </w:rPr>
        <w:t>践行以人民为中心的发展理念，健全基本公共服务体系，加强普惠性、基础性、兜底性民生建设。加大优质高效服务供给，满足群众对日常生活、高品质生活、个性化生活服务的要求。</w:t>
      </w:r>
    </w:p>
    <w:p w14:paraId="2674B651"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坚持科技赋能，业态融合。</w:t>
      </w:r>
      <w:r>
        <w:rPr>
          <w:rFonts w:ascii="FangSong_GB2312" w:eastAsia="FangSong_GB2312" w:hAnsi="FangSong_GB2312" w:cs="FangSong_GB2312" w:hint="eastAsia"/>
          <w:sz w:val="32"/>
          <w:szCs w:val="32"/>
        </w:rPr>
        <w:t>强化技术创新与制度创新双轮驱动，推动生产性服务业向专业化和价值链高端延伸。加速服务业数智化转型，深化现代服务业与先进制造业、热带高效农业的融合发展。</w:t>
      </w:r>
    </w:p>
    <w:p w14:paraId="668300F7"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坚持改革攻坚，特色发展。</w:t>
      </w:r>
      <w:r>
        <w:rPr>
          <w:rFonts w:ascii="FangSong_GB2312" w:eastAsia="FangSong_GB2312" w:hAnsi="FangSong_GB2312" w:cs="FangSong_GB2312" w:hint="eastAsia"/>
          <w:sz w:val="32"/>
          <w:szCs w:val="32"/>
        </w:rPr>
        <w:t>以体制机制改革破除服务业发展堵点难点，深化要素市场改革，打造市场化、法治化、国际化的一流营商环境，加强山海互动、陆海统筹、区域协同，推动生态优势转化为服务业产业优势。</w:t>
      </w:r>
    </w:p>
    <w:p w14:paraId="4AC8DEC5"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坚持开放合作，规则对接。</w:t>
      </w:r>
      <w:r>
        <w:rPr>
          <w:rFonts w:ascii="FangSong_GB2312" w:eastAsia="FangSong_GB2312" w:hAnsi="FangSong_GB2312" w:cs="FangSong_GB2312" w:hint="eastAsia"/>
          <w:sz w:val="32"/>
          <w:szCs w:val="32"/>
        </w:rPr>
        <w:t>扩大服务业市场开放，全面对接国际高标准经贸规则，深度融入共建“一带一路”，加快培育国际化服务品牌，增强全球资源配置能力，提升服务业标准化、国际化水平。</w:t>
      </w:r>
    </w:p>
    <w:p w14:paraId="1716F9A5"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31" w:name="_Toc31927"/>
      <w:bookmarkStart w:id="32" w:name="_Toc13123"/>
      <w:bookmarkStart w:id="33" w:name="_Toc15426"/>
      <w:bookmarkStart w:id="34" w:name="_Toc507"/>
      <w:bookmarkStart w:id="35" w:name="_Toc31329"/>
      <w:bookmarkStart w:id="36" w:name="_Toc4018"/>
      <w:bookmarkStart w:id="37" w:name="_Toc17062"/>
      <w:bookmarkStart w:id="38" w:name="_Toc21817"/>
      <w:bookmarkStart w:id="39" w:name="_Toc20179"/>
      <w:bookmarkStart w:id="40" w:name="_Toc30774"/>
      <w:bookmarkStart w:id="41" w:name="_Toc19480"/>
      <w:bookmarkStart w:id="42" w:name="_Toc10507"/>
      <w:bookmarkStart w:id="43" w:name="_Toc19789"/>
      <w:bookmarkStart w:id="44" w:name="_Toc11769"/>
      <w:r>
        <w:rPr>
          <w:rFonts w:ascii="FangSong_GB2312" w:eastAsia="FangSong_GB2312" w:hAnsi="FangSong_GB2312" w:cs="FangSong_GB2312" w:hint="eastAsia"/>
          <w:b/>
          <w:bCs/>
          <w:sz w:val="32"/>
          <w:szCs w:val="32"/>
        </w:rPr>
        <w:t>3.发展目标</w:t>
      </w:r>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FangSong_GB2312" w:eastAsia="FangSong_GB2312" w:hAnsi="FangSong_GB2312" w:cs="FangSong_GB2312" w:hint="eastAsia"/>
          <w:b/>
          <w:bCs/>
          <w:sz w:val="32"/>
          <w:szCs w:val="32"/>
        </w:rPr>
        <w:t>。</w:t>
      </w:r>
    </w:p>
    <w:p w14:paraId="6773ECC1"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规模实力迈上新台阶。</w:t>
      </w:r>
      <w:r>
        <w:rPr>
          <w:rFonts w:ascii="FangSong_GB2312" w:eastAsia="FangSong_GB2312" w:hAnsi="FangSong_GB2312" w:cs="FangSong_GB2312" w:hint="eastAsia"/>
          <w:sz w:val="32"/>
          <w:szCs w:val="32"/>
        </w:rPr>
        <w:t>“十五五”期间，服务业增加值年均增速保持在6%以上，到2030年，占地区生产总值的比重维持61%左右，保持经济主引擎地位。</w:t>
      </w:r>
    </w:p>
    <w:p w14:paraId="654EA2B2"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结构更加优化。</w:t>
      </w:r>
      <w:r>
        <w:rPr>
          <w:rFonts w:ascii="FangSong_GB2312" w:eastAsia="FangSong_GB2312" w:hAnsi="FangSong_GB2312" w:cs="FangSong_GB2312" w:hint="eastAsia"/>
          <w:sz w:val="32"/>
          <w:szCs w:val="32"/>
        </w:rPr>
        <w:t>生产性服务业的效率和专业化水平显著提高，生活性服务业满足人民消费新需求的功能显著增强。交通、金融、信息、商务服务等现代服务业重点行业年均增速超过服务业整体水平，“十五五”期间，现代服务业增加值年均增速达到9%以上。到2030年，现代服务业增加值占GDP比重达31%左右。</w:t>
      </w:r>
    </w:p>
    <w:p w14:paraId="14C466CD"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区域布局更加合理。</w:t>
      </w:r>
      <w:r>
        <w:rPr>
          <w:rFonts w:ascii="FangSong_GB2312" w:eastAsia="FangSong_GB2312" w:hAnsi="FangSong_GB2312" w:cs="FangSong_GB2312" w:hint="eastAsia"/>
          <w:sz w:val="32"/>
          <w:szCs w:val="32"/>
        </w:rPr>
        <w:t>海口经济圈重点发展临空经济、数字贸易、会展经济、专业服务。三亚经济圈深耕高端文旅、医疗康养、总部金融、科创服务。儋洋经济圈聚焦国际物流、离岸贸易、临港经济。</w:t>
      </w:r>
    </w:p>
    <w:p w14:paraId="4DA87BAC"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开放水平进一步提升。</w:t>
      </w:r>
      <w:r>
        <w:rPr>
          <w:rFonts w:ascii="FangSong_GB2312" w:eastAsia="FangSong_GB2312" w:hAnsi="FangSong_GB2312" w:cs="FangSong_GB2312" w:hint="eastAsia"/>
          <w:sz w:val="32"/>
          <w:szCs w:val="32"/>
        </w:rPr>
        <w:t>服务业对外开放持续深化，“十五五”期间，货物贸易和服务贸易年均增速分别达到10%和20%，在商务服务、数字贸易、医疗、教育等特色领域形成竞争新优势。</w:t>
      </w:r>
    </w:p>
    <w:p w14:paraId="539D4DF9"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形成有影响力的制度创新。</w:t>
      </w:r>
      <w:r>
        <w:rPr>
          <w:rFonts w:ascii="FangSong_GB2312" w:eastAsia="FangSong_GB2312" w:hAnsi="FangSong_GB2312" w:cs="FangSong_GB2312" w:hint="eastAsia"/>
          <w:sz w:val="32"/>
          <w:szCs w:val="32"/>
        </w:rPr>
        <w:t>在关键领域开展系统性、集成性制度创新和压力测试。到2030年，力争在跨境数据安全有序流动、新型离岸国际贸易、高端医疗消费、国际教育创新等领域，形成3-5项可复制可推广的制度集成创新案例和特色标准规范。</w:t>
      </w:r>
    </w:p>
    <w:p w14:paraId="54C53727" w14:textId="77777777" w:rsidR="00000000" w:rsidRDefault="00000000">
      <w:pPr>
        <w:spacing w:afterLines="50" w:after="120" w:line="560" w:lineRule="exact"/>
        <w:jc w:val="center"/>
        <w:rPr>
          <w:rFonts w:eastAsia="SimHei" w:cs="SimHei" w:hint="eastAsia"/>
          <w:bCs/>
          <w:sz w:val="32"/>
          <w:szCs w:val="32"/>
          <w:highlight w:val="cyan"/>
        </w:rPr>
      </w:pPr>
      <w:r>
        <w:rPr>
          <w:rFonts w:eastAsia="SimHei" w:cs="SimHei" w:hint="eastAsia"/>
          <w:bCs/>
          <w:sz w:val="32"/>
          <w:szCs w:val="32"/>
        </w:rPr>
        <w:t>海南省“十五五”服务业发展主要指标</w:t>
      </w:r>
    </w:p>
    <w:tbl>
      <w:tblPr>
        <w:tblW w:w="499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7"/>
        <w:gridCol w:w="1776"/>
        <w:gridCol w:w="1775"/>
        <w:gridCol w:w="1344"/>
      </w:tblGrid>
      <w:tr w:rsidR="00000000" w14:paraId="594CB492" w14:textId="77777777">
        <w:trPr>
          <w:trHeight w:val="670"/>
          <w:tblHeader/>
          <w:jc w:val="center"/>
        </w:trPr>
        <w:tc>
          <w:tcPr>
            <w:tcW w:w="2227" w:type="pct"/>
            <w:vAlign w:val="center"/>
          </w:tcPr>
          <w:p w14:paraId="2CE1AA03" w14:textId="77777777" w:rsidR="00000000" w:rsidRDefault="00000000">
            <w:pPr>
              <w:spacing w:line="400" w:lineRule="exact"/>
              <w:jc w:val="center"/>
              <w:rPr>
                <w:rFonts w:ascii="SimHei" w:eastAsia="SimHei" w:hAnsi="SimHei" w:cs="SimHei" w:hint="eastAsia"/>
                <w:kern w:val="0"/>
                <w:sz w:val="28"/>
                <w:szCs w:val="28"/>
              </w:rPr>
            </w:pPr>
            <w:bookmarkStart w:id="45" w:name="_Toc18432"/>
            <w:bookmarkStart w:id="46" w:name="_Toc17643"/>
            <w:r>
              <w:rPr>
                <w:rFonts w:ascii="SimHei" w:eastAsia="SimHei" w:hAnsi="SimHei" w:cs="SimHei" w:hint="eastAsia"/>
                <w:kern w:val="0"/>
                <w:sz w:val="28"/>
                <w:szCs w:val="28"/>
              </w:rPr>
              <w:t>指标名称</w:t>
            </w:r>
          </w:p>
        </w:tc>
        <w:tc>
          <w:tcPr>
            <w:tcW w:w="1005" w:type="pct"/>
            <w:vAlign w:val="center"/>
          </w:tcPr>
          <w:p w14:paraId="6843FC92" w14:textId="77777777" w:rsidR="00000000" w:rsidRDefault="00000000">
            <w:pPr>
              <w:spacing w:line="400" w:lineRule="exact"/>
              <w:jc w:val="center"/>
              <w:rPr>
                <w:rFonts w:ascii="SimHei" w:eastAsia="SimHei" w:hAnsi="SimHei" w:cs="SimHei" w:hint="eastAsia"/>
                <w:sz w:val="28"/>
                <w:szCs w:val="28"/>
              </w:rPr>
            </w:pPr>
            <w:r>
              <w:rPr>
                <w:rFonts w:ascii="SimHei" w:eastAsia="SimHei" w:hAnsi="SimHei" w:cs="SimHei" w:hint="eastAsia"/>
                <w:kern w:val="0"/>
                <w:sz w:val="28"/>
                <w:szCs w:val="28"/>
              </w:rPr>
              <w:t>2025年</w:t>
            </w:r>
          </w:p>
        </w:tc>
        <w:tc>
          <w:tcPr>
            <w:tcW w:w="1005" w:type="pct"/>
            <w:vAlign w:val="center"/>
          </w:tcPr>
          <w:p w14:paraId="133D51D2" w14:textId="77777777" w:rsidR="00000000" w:rsidRDefault="00000000">
            <w:pPr>
              <w:spacing w:line="400" w:lineRule="exact"/>
              <w:jc w:val="center"/>
              <w:rPr>
                <w:rFonts w:ascii="SimHei" w:eastAsia="SimHei" w:hAnsi="SimHei" w:cs="SimHei" w:hint="eastAsia"/>
                <w:sz w:val="28"/>
                <w:szCs w:val="28"/>
              </w:rPr>
            </w:pPr>
            <w:r>
              <w:rPr>
                <w:rFonts w:ascii="SimHei" w:eastAsia="SimHei" w:hAnsi="SimHei" w:cs="SimHei" w:hint="eastAsia"/>
                <w:kern w:val="0"/>
                <w:sz w:val="28"/>
                <w:szCs w:val="28"/>
              </w:rPr>
              <w:t>2030年</w:t>
            </w:r>
          </w:p>
        </w:tc>
        <w:tc>
          <w:tcPr>
            <w:tcW w:w="761" w:type="pct"/>
            <w:vAlign w:val="center"/>
          </w:tcPr>
          <w:p w14:paraId="3278A488" w14:textId="77777777" w:rsidR="00000000" w:rsidRDefault="00000000">
            <w:pPr>
              <w:spacing w:line="400" w:lineRule="exact"/>
              <w:jc w:val="center"/>
              <w:rPr>
                <w:rFonts w:ascii="SimHei" w:eastAsia="SimHei" w:hAnsi="SimHei" w:cs="SimHei" w:hint="eastAsia"/>
                <w:kern w:val="0"/>
                <w:sz w:val="28"/>
                <w:szCs w:val="28"/>
              </w:rPr>
            </w:pPr>
            <w:r>
              <w:rPr>
                <w:rFonts w:ascii="SimHei" w:eastAsia="SimHei" w:hAnsi="SimHei" w:cs="SimHei" w:hint="eastAsia"/>
                <w:kern w:val="0"/>
                <w:sz w:val="28"/>
                <w:szCs w:val="28"/>
              </w:rPr>
              <w:t>属性</w:t>
            </w:r>
          </w:p>
        </w:tc>
      </w:tr>
      <w:tr w:rsidR="00000000" w14:paraId="0D8D7588" w14:textId="77777777">
        <w:trPr>
          <w:trHeight w:hRule="exact" w:val="680"/>
          <w:jc w:val="center"/>
        </w:trPr>
        <w:tc>
          <w:tcPr>
            <w:tcW w:w="2227" w:type="pct"/>
            <w:vAlign w:val="center"/>
          </w:tcPr>
          <w:p w14:paraId="6EB82399" w14:textId="77777777" w:rsidR="00000000" w:rsidRDefault="00000000">
            <w:pPr>
              <w:widowControl/>
              <w:spacing w:line="400" w:lineRule="exac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1.服务业占GDP比重（%）</w:t>
            </w:r>
          </w:p>
        </w:tc>
        <w:tc>
          <w:tcPr>
            <w:tcW w:w="1005" w:type="pct"/>
            <w:vAlign w:val="center"/>
          </w:tcPr>
          <w:p w14:paraId="293A8744"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61.7</w:t>
            </w:r>
          </w:p>
        </w:tc>
        <w:tc>
          <w:tcPr>
            <w:tcW w:w="1005" w:type="pct"/>
            <w:vAlign w:val="center"/>
          </w:tcPr>
          <w:p w14:paraId="4563F7B8"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61左右</w:t>
            </w:r>
          </w:p>
        </w:tc>
        <w:tc>
          <w:tcPr>
            <w:tcW w:w="761" w:type="pct"/>
            <w:vAlign w:val="center"/>
          </w:tcPr>
          <w:p w14:paraId="27233AA4"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r w:rsidR="00000000" w14:paraId="43ECFF7D" w14:textId="77777777">
        <w:trPr>
          <w:trHeight w:hRule="exact" w:val="680"/>
          <w:jc w:val="center"/>
        </w:trPr>
        <w:tc>
          <w:tcPr>
            <w:tcW w:w="2227" w:type="pct"/>
            <w:vAlign w:val="center"/>
          </w:tcPr>
          <w:p w14:paraId="06E28E9E" w14:textId="77777777" w:rsidR="00000000" w:rsidRDefault="00000000">
            <w:pPr>
              <w:widowControl/>
              <w:spacing w:line="400" w:lineRule="exac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2.现代服务业占GDP比重（%）</w:t>
            </w:r>
          </w:p>
        </w:tc>
        <w:tc>
          <w:tcPr>
            <w:tcW w:w="1005" w:type="pct"/>
            <w:vAlign w:val="center"/>
          </w:tcPr>
          <w:p w14:paraId="3C85FD52"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27.5</w:t>
            </w:r>
          </w:p>
        </w:tc>
        <w:tc>
          <w:tcPr>
            <w:tcW w:w="1005" w:type="pct"/>
            <w:vAlign w:val="center"/>
          </w:tcPr>
          <w:p w14:paraId="7B53F5EC"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sz w:val="28"/>
                <w:szCs w:val="28"/>
              </w:rPr>
              <w:t>31左右</w:t>
            </w:r>
          </w:p>
        </w:tc>
        <w:tc>
          <w:tcPr>
            <w:tcW w:w="761" w:type="pct"/>
            <w:vAlign w:val="center"/>
          </w:tcPr>
          <w:p w14:paraId="5F0E5558"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kern w:val="0"/>
                <w:sz w:val="28"/>
                <w:szCs w:val="28"/>
              </w:rPr>
              <w:t>预期性</w:t>
            </w:r>
          </w:p>
        </w:tc>
      </w:tr>
      <w:tr w:rsidR="00000000" w14:paraId="6059E6B5" w14:textId="77777777">
        <w:trPr>
          <w:trHeight w:hRule="exact" w:val="680"/>
          <w:jc w:val="center"/>
        </w:trPr>
        <w:tc>
          <w:tcPr>
            <w:tcW w:w="2227" w:type="pct"/>
            <w:vAlign w:val="center"/>
          </w:tcPr>
          <w:p w14:paraId="7612352D" w14:textId="77777777" w:rsidR="00000000" w:rsidRDefault="00000000">
            <w:pPr>
              <w:widowControl/>
              <w:spacing w:line="400" w:lineRule="exac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lastRenderedPageBreak/>
              <w:t>3.货物进出口（亿元）</w:t>
            </w:r>
          </w:p>
        </w:tc>
        <w:tc>
          <w:tcPr>
            <w:tcW w:w="1005" w:type="pct"/>
            <w:vAlign w:val="center"/>
          </w:tcPr>
          <w:p w14:paraId="338EE63A"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2760</w:t>
            </w:r>
          </w:p>
        </w:tc>
        <w:tc>
          <w:tcPr>
            <w:tcW w:w="1005" w:type="pct"/>
            <w:vAlign w:val="center"/>
          </w:tcPr>
          <w:p w14:paraId="0C2301AF"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4445</w:t>
            </w:r>
          </w:p>
        </w:tc>
        <w:tc>
          <w:tcPr>
            <w:tcW w:w="761" w:type="pct"/>
            <w:vAlign w:val="center"/>
          </w:tcPr>
          <w:p w14:paraId="36045C69"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kern w:val="0"/>
                <w:sz w:val="28"/>
                <w:szCs w:val="28"/>
              </w:rPr>
              <w:t>预期性</w:t>
            </w:r>
          </w:p>
        </w:tc>
      </w:tr>
      <w:tr w:rsidR="00000000" w14:paraId="7C4C233F" w14:textId="77777777">
        <w:trPr>
          <w:trHeight w:hRule="exact" w:val="680"/>
          <w:jc w:val="center"/>
        </w:trPr>
        <w:tc>
          <w:tcPr>
            <w:tcW w:w="2227" w:type="pct"/>
            <w:vAlign w:val="center"/>
          </w:tcPr>
          <w:p w14:paraId="73F4A14A" w14:textId="77777777" w:rsidR="00000000" w:rsidRDefault="00000000">
            <w:pPr>
              <w:widowControl/>
              <w:spacing w:line="400" w:lineRule="exac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4.服务进出口（亿元）</w:t>
            </w:r>
          </w:p>
        </w:tc>
        <w:tc>
          <w:tcPr>
            <w:tcW w:w="1005" w:type="pct"/>
            <w:vAlign w:val="center"/>
          </w:tcPr>
          <w:p w14:paraId="0ADC9789"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sz w:val="28"/>
                <w:szCs w:val="28"/>
              </w:rPr>
              <w:t>69</w:t>
            </w:r>
            <w:r>
              <w:rPr>
                <w:rFonts w:ascii="FangSong_GB2312" w:eastAsia="FangSong_GB2312" w:hAnsi="FangSong_GB2312" w:cs="FangSong_GB2312" w:hint="eastAsia"/>
                <w:sz w:val="28"/>
                <w:szCs w:val="28"/>
              </w:rPr>
              <w:t>2.6</w:t>
            </w:r>
          </w:p>
        </w:tc>
        <w:tc>
          <w:tcPr>
            <w:tcW w:w="1005" w:type="pct"/>
            <w:vAlign w:val="center"/>
          </w:tcPr>
          <w:p w14:paraId="4BAE1BCA"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1723</w:t>
            </w:r>
          </w:p>
        </w:tc>
        <w:tc>
          <w:tcPr>
            <w:tcW w:w="761" w:type="pct"/>
            <w:vAlign w:val="center"/>
          </w:tcPr>
          <w:p w14:paraId="716CF6FC"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kern w:val="0"/>
                <w:sz w:val="28"/>
                <w:szCs w:val="28"/>
              </w:rPr>
              <w:t>预期性</w:t>
            </w:r>
          </w:p>
        </w:tc>
      </w:tr>
      <w:tr w:rsidR="00000000" w14:paraId="3B0A9575" w14:textId="77777777">
        <w:trPr>
          <w:trHeight w:hRule="exact" w:val="680"/>
          <w:jc w:val="center"/>
        </w:trPr>
        <w:tc>
          <w:tcPr>
            <w:tcW w:w="2227" w:type="pct"/>
            <w:vAlign w:val="center"/>
          </w:tcPr>
          <w:p w14:paraId="0FF111EA" w14:textId="77777777" w:rsidR="00000000" w:rsidRDefault="00000000">
            <w:pPr>
              <w:widowControl/>
              <w:spacing w:line="400" w:lineRule="exact"/>
              <w:jc w:val="lef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5.批发和零售业增加值（亿元）</w:t>
            </w:r>
          </w:p>
        </w:tc>
        <w:tc>
          <w:tcPr>
            <w:tcW w:w="1005" w:type="pct"/>
            <w:vAlign w:val="center"/>
          </w:tcPr>
          <w:p w14:paraId="2E48F262"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915.9</w:t>
            </w:r>
          </w:p>
        </w:tc>
        <w:tc>
          <w:tcPr>
            <w:tcW w:w="1005" w:type="pct"/>
            <w:vAlign w:val="center"/>
          </w:tcPr>
          <w:p w14:paraId="3F87722B"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1346</w:t>
            </w:r>
          </w:p>
        </w:tc>
        <w:tc>
          <w:tcPr>
            <w:tcW w:w="761" w:type="pct"/>
            <w:vAlign w:val="center"/>
          </w:tcPr>
          <w:p w14:paraId="4A33A9EC"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r w:rsidR="00000000" w14:paraId="322208FC" w14:textId="77777777">
        <w:trPr>
          <w:trHeight w:hRule="exact" w:val="824"/>
          <w:jc w:val="center"/>
        </w:trPr>
        <w:tc>
          <w:tcPr>
            <w:tcW w:w="2227" w:type="pct"/>
            <w:vAlign w:val="center"/>
          </w:tcPr>
          <w:p w14:paraId="2014715D" w14:textId="77777777" w:rsidR="00000000" w:rsidRDefault="00000000">
            <w:pPr>
              <w:widowControl/>
              <w:spacing w:line="400" w:lineRule="exact"/>
              <w:jc w:val="lef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6.交通运输、仓储和邮政业增加值（亿元）</w:t>
            </w:r>
          </w:p>
        </w:tc>
        <w:tc>
          <w:tcPr>
            <w:tcW w:w="1005" w:type="pct"/>
            <w:vAlign w:val="center"/>
          </w:tcPr>
          <w:p w14:paraId="4B4DB7AE"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349.8</w:t>
            </w:r>
          </w:p>
        </w:tc>
        <w:tc>
          <w:tcPr>
            <w:tcW w:w="1005" w:type="pct"/>
            <w:vAlign w:val="center"/>
          </w:tcPr>
          <w:p w14:paraId="7F8C5F34"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514</w:t>
            </w:r>
          </w:p>
        </w:tc>
        <w:tc>
          <w:tcPr>
            <w:tcW w:w="761" w:type="pct"/>
            <w:vAlign w:val="center"/>
          </w:tcPr>
          <w:p w14:paraId="472D5BA8"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r w:rsidR="00000000" w14:paraId="26D7048C" w14:textId="77777777">
        <w:trPr>
          <w:trHeight w:hRule="exact" w:val="680"/>
          <w:jc w:val="center"/>
        </w:trPr>
        <w:tc>
          <w:tcPr>
            <w:tcW w:w="2227" w:type="pct"/>
            <w:vAlign w:val="center"/>
          </w:tcPr>
          <w:p w14:paraId="5EBF73ED" w14:textId="77777777" w:rsidR="00000000" w:rsidRDefault="00000000">
            <w:pPr>
              <w:widowControl/>
              <w:spacing w:line="400" w:lineRule="exact"/>
              <w:jc w:val="lef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7.金融业增加值（亿元）</w:t>
            </w:r>
          </w:p>
        </w:tc>
        <w:tc>
          <w:tcPr>
            <w:tcW w:w="1005" w:type="pct"/>
            <w:vAlign w:val="center"/>
          </w:tcPr>
          <w:p w14:paraId="71CF36C4"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541</w:t>
            </w:r>
          </w:p>
        </w:tc>
        <w:tc>
          <w:tcPr>
            <w:tcW w:w="1005" w:type="pct"/>
            <w:vAlign w:val="center"/>
          </w:tcPr>
          <w:p w14:paraId="3574FE15" w14:textId="77777777" w:rsidR="00000000" w:rsidRDefault="00000000">
            <w:pPr>
              <w:widowControl/>
              <w:spacing w:line="400" w:lineRule="exact"/>
              <w:jc w:val="center"/>
              <w:rPr>
                <w:rFonts w:ascii="FangSong_GB2312" w:eastAsia="FangSong_GB2312" w:hAnsi="FangSong_GB2312" w:cs="FangSong_GB2312"/>
                <w:kern w:val="0"/>
                <w:sz w:val="28"/>
                <w:szCs w:val="28"/>
              </w:rPr>
            </w:pPr>
            <w:r>
              <w:rPr>
                <w:rFonts w:ascii="FangSong_GB2312" w:eastAsia="FangSong_GB2312" w:hAnsi="FangSong_GB2312" w:cs="FangSong_GB2312" w:hint="eastAsia"/>
                <w:kern w:val="0"/>
                <w:sz w:val="28"/>
                <w:szCs w:val="28"/>
              </w:rPr>
              <w:t>7</w:t>
            </w:r>
            <w:r>
              <w:rPr>
                <w:rFonts w:ascii="FangSong_GB2312" w:eastAsia="FangSong_GB2312" w:hAnsi="FangSong_GB2312" w:cs="FangSong_GB2312"/>
                <w:kern w:val="0"/>
                <w:sz w:val="28"/>
                <w:szCs w:val="28"/>
              </w:rPr>
              <w:t>66</w:t>
            </w:r>
          </w:p>
        </w:tc>
        <w:tc>
          <w:tcPr>
            <w:tcW w:w="761" w:type="pct"/>
            <w:vAlign w:val="center"/>
          </w:tcPr>
          <w:p w14:paraId="64442F4A"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r w:rsidR="00000000" w14:paraId="56492365" w14:textId="77777777">
        <w:trPr>
          <w:trHeight w:hRule="exact" w:val="680"/>
          <w:jc w:val="center"/>
        </w:trPr>
        <w:tc>
          <w:tcPr>
            <w:tcW w:w="2227" w:type="pct"/>
            <w:vAlign w:val="center"/>
          </w:tcPr>
          <w:p w14:paraId="21D64075" w14:textId="77777777" w:rsidR="00000000" w:rsidRDefault="00000000">
            <w:pPr>
              <w:widowControl/>
              <w:spacing w:line="400" w:lineRule="exact"/>
              <w:jc w:val="left"/>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8.房地产业增加值（亿元）</w:t>
            </w:r>
          </w:p>
        </w:tc>
        <w:tc>
          <w:tcPr>
            <w:tcW w:w="1005" w:type="pct"/>
            <w:vAlign w:val="center"/>
          </w:tcPr>
          <w:p w14:paraId="33739AED"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871.8</w:t>
            </w:r>
          </w:p>
        </w:tc>
        <w:tc>
          <w:tcPr>
            <w:tcW w:w="1005" w:type="pct"/>
            <w:vAlign w:val="center"/>
          </w:tcPr>
          <w:p w14:paraId="750B4871"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1061</w:t>
            </w:r>
          </w:p>
        </w:tc>
        <w:tc>
          <w:tcPr>
            <w:tcW w:w="761" w:type="pct"/>
            <w:vAlign w:val="center"/>
          </w:tcPr>
          <w:p w14:paraId="4CE708CB"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r w:rsidR="00000000" w14:paraId="1835C599" w14:textId="77777777">
        <w:trPr>
          <w:trHeight w:hRule="exact" w:val="1020"/>
          <w:jc w:val="center"/>
        </w:trPr>
        <w:tc>
          <w:tcPr>
            <w:tcW w:w="2227" w:type="pct"/>
            <w:vAlign w:val="center"/>
          </w:tcPr>
          <w:p w14:paraId="4EDFB6C0" w14:textId="77777777" w:rsidR="00000000" w:rsidRDefault="00000000">
            <w:pPr>
              <w:widowControl/>
              <w:spacing w:line="400" w:lineRule="exact"/>
              <w:jc w:val="left"/>
              <w:rPr>
                <w:rFonts w:ascii="FangSong_GB2312" w:eastAsia="FangSong_GB2312" w:hAnsi="FangSong_GB2312" w:cs="FangSong_GB2312" w:hint="eastAsia"/>
                <w:kern w:val="0"/>
                <w:sz w:val="28"/>
                <w:szCs w:val="28"/>
              </w:rPr>
            </w:pPr>
            <w:bookmarkStart w:id="47" w:name="_Toc10499"/>
            <w:r>
              <w:rPr>
                <w:rFonts w:ascii="FangSong_GB2312" w:eastAsia="FangSong_GB2312" w:hAnsi="FangSong_GB2312" w:cs="FangSong_GB2312" w:hint="eastAsia"/>
                <w:kern w:val="0"/>
                <w:sz w:val="28"/>
                <w:szCs w:val="28"/>
              </w:rPr>
              <w:t>9.信息传输、软件和信息技术服务业增加值（亿元）</w:t>
            </w:r>
          </w:p>
        </w:tc>
        <w:tc>
          <w:tcPr>
            <w:tcW w:w="1005" w:type="pct"/>
            <w:vAlign w:val="center"/>
          </w:tcPr>
          <w:p w14:paraId="7772D484" w14:textId="77777777" w:rsidR="00000000" w:rsidRDefault="00000000">
            <w:pPr>
              <w:widowControl/>
              <w:spacing w:line="400" w:lineRule="exact"/>
              <w:jc w:val="center"/>
              <w:rPr>
                <w:rFonts w:ascii="FangSong_GB2312" w:eastAsia="FangSong_GB2312" w:hAnsi="FangSong_GB2312" w:cs="FangSong_GB2312" w:hint="eastAsia"/>
                <w:sz w:val="28"/>
                <w:szCs w:val="28"/>
              </w:rPr>
            </w:pPr>
            <w:r>
              <w:rPr>
                <w:rFonts w:ascii="FangSong_GB2312" w:eastAsia="FangSong_GB2312" w:hAnsi="FangSong_GB2312" w:cs="FangSong_GB2312" w:hint="eastAsia"/>
                <w:sz w:val="28"/>
                <w:szCs w:val="28"/>
              </w:rPr>
              <w:t>458.5</w:t>
            </w:r>
          </w:p>
        </w:tc>
        <w:tc>
          <w:tcPr>
            <w:tcW w:w="1005" w:type="pct"/>
            <w:vAlign w:val="center"/>
          </w:tcPr>
          <w:p w14:paraId="0B4FB3F5"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614</w:t>
            </w:r>
          </w:p>
        </w:tc>
        <w:tc>
          <w:tcPr>
            <w:tcW w:w="761" w:type="pct"/>
            <w:vAlign w:val="center"/>
          </w:tcPr>
          <w:p w14:paraId="0BB775FB" w14:textId="77777777" w:rsidR="00000000" w:rsidRDefault="00000000">
            <w:pPr>
              <w:widowControl/>
              <w:spacing w:line="400" w:lineRule="exact"/>
              <w:jc w:val="center"/>
              <w:rPr>
                <w:rFonts w:ascii="FangSong_GB2312" w:eastAsia="FangSong_GB2312" w:hAnsi="FangSong_GB2312" w:cs="FangSong_GB2312" w:hint="eastAsia"/>
                <w:kern w:val="0"/>
                <w:sz w:val="28"/>
                <w:szCs w:val="28"/>
              </w:rPr>
            </w:pPr>
            <w:r>
              <w:rPr>
                <w:rFonts w:ascii="FangSong_GB2312" w:eastAsia="FangSong_GB2312" w:hAnsi="FangSong_GB2312" w:cs="FangSong_GB2312" w:hint="eastAsia"/>
                <w:kern w:val="0"/>
                <w:sz w:val="28"/>
                <w:szCs w:val="28"/>
              </w:rPr>
              <w:t>预期性</w:t>
            </w:r>
          </w:p>
        </w:tc>
      </w:tr>
    </w:tbl>
    <w:p w14:paraId="61EA46E3" w14:textId="77777777" w:rsidR="00000000" w:rsidRDefault="00000000">
      <w:pPr>
        <w:overflowPunct w:val="0"/>
        <w:spacing w:beforeLines="50" w:before="120" w:line="600" w:lineRule="exact"/>
        <w:ind w:firstLineChars="200" w:firstLine="640"/>
        <w:outlineLvl w:val="0"/>
        <w:rPr>
          <w:rFonts w:eastAsia="SimHei" w:cs="SimHei" w:hint="eastAsia"/>
          <w:spacing w:val="-6"/>
          <w:sz w:val="32"/>
          <w:szCs w:val="32"/>
        </w:rPr>
      </w:pPr>
      <w:bookmarkStart w:id="48" w:name="_Toc838"/>
      <w:r>
        <w:rPr>
          <w:rFonts w:eastAsia="SimHei" w:cs="SimHei" w:hint="eastAsia"/>
          <w:sz w:val="32"/>
          <w:szCs w:val="32"/>
        </w:rPr>
        <w:t>二、</w:t>
      </w:r>
      <w:bookmarkEnd w:id="46"/>
      <w:bookmarkEnd w:id="47"/>
      <w:r>
        <w:rPr>
          <w:rFonts w:eastAsia="SimHei" w:cs="SimHei" w:hint="eastAsia"/>
          <w:spacing w:val="-6"/>
          <w:sz w:val="32"/>
          <w:szCs w:val="32"/>
        </w:rPr>
        <w:t>推进生产性服务业向专业化和价值链高端延伸</w:t>
      </w:r>
      <w:bookmarkEnd w:id="48"/>
    </w:p>
    <w:p w14:paraId="73AE572A"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bookmarkStart w:id="49" w:name="_Toc8342"/>
      <w:bookmarkStart w:id="50" w:name="_Toc19767"/>
      <w:bookmarkStart w:id="51" w:name="_Toc6539"/>
      <w:bookmarkStart w:id="52" w:name="_Toc21840"/>
      <w:bookmarkStart w:id="53" w:name="_Toc8230"/>
      <w:bookmarkStart w:id="54" w:name="_Toc11105"/>
      <w:bookmarkStart w:id="55" w:name="_Toc29602"/>
      <w:bookmarkStart w:id="56" w:name="_Toc19037"/>
      <w:bookmarkStart w:id="57" w:name="_Toc25722"/>
      <w:bookmarkStart w:id="58" w:name="_Toc2355"/>
      <w:bookmarkStart w:id="59" w:name="_Toc7627"/>
      <w:bookmarkStart w:id="60" w:name="_Toc3148"/>
      <w:bookmarkStart w:id="61" w:name="_Toc18367"/>
      <w:bookmarkStart w:id="62" w:name="_Toc25216"/>
      <w:bookmarkStart w:id="63" w:name="_Toc5087"/>
      <w:bookmarkStart w:id="64" w:name="_Toc16526"/>
      <w:r>
        <w:rPr>
          <w:rFonts w:ascii="FangSong_GB2312" w:eastAsia="FangSong_GB2312" w:hAnsi="FangSong_GB2312" w:cs="FangSong_GB2312" w:hint="eastAsia"/>
          <w:sz w:val="32"/>
          <w:szCs w:val="32"/>
        </w:rPr>
        <w:t>聚焦生产性服务业重点领域，分层分类推动服务业发展，打造内外联通、安全高效、智慧绿色的综合交通运输体系。畅通数据和资本要素双向循环，推动跨境数据安全有序流动，提升金融对外开放能级。聚焦大宗商品、中间品加工、离岸贸易、跨境电商、数字贸易、绿色贸易等关键领域，提升贸易枢纽地位。</w:t>
      </w:r>
    </w:p>
    <w:p w14:paraId="0252EB42"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65" w:name="_Toc10857"/>
      <w:bookmarkStart w:id="66" w:name="_Toc23280"/>
      <w:bookmarkStart w:id="67" w:name="_Toc18828"/>
      <w:bookmarkStart w:id="68" w:name="_Toc28432"/>
      <w:bookmarkStart w:id="69" w:name="_Toc16735"/>
      <w:bookmarkStart w:id="70" w:name="_Toc25234"/>
      <w:bookmarkEnd w:id="45"/>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eastAsia="KaiTi_GB2312" w:cs="KaiTi_GB2312" w:hint="eastAsia"/>
          <w:sz w:val="32"/>
          <w:szCs w:val="32"/>
        </w:rPr>
        <w:t>（一）提升交通运输服务能级，打造双循环战略支点</w:t>
      </w:r>
      <w:bookmarkEnd w:id="67"/>
      <w:bookmarkEnd w:id="68"/>
      <w:bookmarkEnd w:id="69"/>
      <w:bookmarkEnd w:id="70"/>
      <w:r>
        <w:rPr>
          <w:rFonts w:eastAsia="KaiTi_GB2312" w:cs="KaiTi_GB2312" w:hint="eastAsia"/>
          <w:sz w:val="32"/>
          <w:szCs w:val="32"/>
        </w:rPr>
        <w:t>。</w:t>
      </w:r>
    </w:p>
    <w:p w14:paraId="42180656"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提升交通运输综合服务能力，大力发展国际海运、空运服务，统筹多种运输方式，提升交通系统间协同效率，构建安全、便捷、高效、绿色、经济的现代化综合交通运输体系。“十五五”期间，交通运输业增加值年均增速达到8%，水运货物周转量、航空客</w:t>
      </w:r>
      <w:r>
        <w:rPr>
          <w:rFonts w:ascii="FangSong_GB2312" w:eastAsia="FangSong_GB2312" w:hAnsi="FangSong_GB2312" w:cs="FangSong_GB2312" w:hint="eastAsia"/>
          <w:sz w:val="32"/>
          <w:szCs w:val="32"/>
        </w:rPr>
        <w:lastRenderedPageBreak/>
        <w:t>运周转量快速增长。</w:t>
      </w:r>
    </w:p>
    <w:p w14:paraId="2EB7F666"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71" w:name="_Toc31516"/>
      <w:bookmarkStart w:id="72" w:name="_Toc32317"/>
      <w:bookmarkStart w:id="73" w:name="_Toc32186"/>
      <w:r>
        <w:rPr>
          <w:rFonts w:ascii="FangSong_GB2312" w:eastAsia="FangSong_GB2312" w:hAnsi="FangSong_GB2312" w:cs="FangSong_GB2312" w:hint="eastAsia"/>
          <w:b/>
          <w:bCs/>
          <w:sz w:val="32"/>
          <w:szCs w:val="32"/>
        </w:rPr>
        <w:t>1.</w:t>
      </w:r>
      <w:bookmarkEnd w:id="71"/>
      <w:r>
        <w:rPr>
          <w:rFonts w:ascii="FangSong_GB2312" w:eastAsia="FangSong_GB2312" w:hAnsi="FangSong_GB2312" w:cs="FangSong_GB2312" w:hint="eastAsia"/>
          <w:b/>
          <w:bCs/>
          <w:sz w:val="32"/>
          <w:szCs w:val="32"/>
        </w:rPr>
        <w:t>打造国际航运枢纽</w:t>
      </w:r>
      <w:bookmarkEnd w:id="72"/>
      <w:bookmarkEnd w:id="73"/>
      <w:r>
        <w:rPr>
          <w:rFonts w:ascii="FangSong_GB2312" w:eastAsia="FangSong_GB2312" w:hAnsi="FangSong_GB2312" w:cs="FangSong_GB2312" w:hint="eastAsia"/>
          <w:b/>
          <w:bCs/>
          <w:sz w:val="32"/>
          <w:szCs w:val="32"/>
        </w:rPr>
        <w:t>。</w:t>
      </w:r>
    </w:p>
    <w:p w14:paraId="627479C6"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加快航运网络建设。</w:t>
      </w:r>
      <w:r>
        <w:rPr>
          <w:rFonts w:ascii="FangSong_GB2312" w:eastAsia="FangSong_GB2312" w:hAnsi="FangSong_GB2312" w:cs="FangSong_GB2312" w:hint="eastAsia"/>
          <w:sz w:val="32"/>
          <w:szCs w:val="32"/>
        </w:rPr>
        <w:t>加密东南亚航线网络，缩短矿产、农产品至海南的物流时间。加密北美航线，对接消费品、高新技术产品市场。强化能源与贸易中转枢纽建设，提升洲际通达性。强化与内地连接，加密海南至华东、华北及粤港澳大湾区的航线，拓展与重庆、钦州等内地主要港口的联运，形成兼备内外贸、通达近远洋的水运网络。“十五五”期间，每年引进综合航运服务企业或大型综合企业的中转集拼部门1-2家，货运代理企业10家。至2030年，集装箱班轮航线增至100条。</w:t>
      </w:r>
    </w:p>
    <w:p w14:paraId="29708F27"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优化港口服务。</w:t>
      </w:r>
      <w:r>
        <w:rPr>
          <w:rFonts w:ascii="FangSong_GB2312" w:eastAsia="FangSong_GB2312" w:hAnsi="FangSong_GB2312" w:cs="FangSong_GB2312" w:hint="eastAsia"/>
          <w:sz w:val="32"/>
          <w:szCs w:val="32"/>
        </w:rPr>
        <w:t>提升港口智慧化水平，引入无人集卡、智能龙门吊，提高集装箱装卸效率，推进新海港城市智慧物流综合体一期项目建设和海口货运南站扩建。推进琼州海峡港航一体化和智慧海峡建设，优化台风、大雾天气应对机制，提升客滚运输保障能力和运输效率。打造洋浦国际集装箱枢纽港，到2030年，洋浦港货物吞吐量增至1.4亿吨。完善集疏运体系，推进洋浦港、新海港等铁路专用线“进港入园”工程，打通铁水联运“最后一公里”，提升综合运输效率。</w:t>
      </w:r>
    </w:p>
    <w:p w14:paraId="5E30860F"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大力发展现代航运服务业。</w:t>
      </w:r>
      <w:r>
        <w:rPr>
          <w:rFonts w:ascii="FangSong_GB2312" w:eastAsia="FangSong_GB2312" w:hAnsi="FangSong_GB2312" w:cs="FangSong_GB2312" w:hint="eastAsia"/>
          <w:sz w:val="32"/>
          <w:szCs w:val="32"/>
        </w:rPr>
        <w:t>发挥“中国洋浦港”船籍港政策优势，吸引船舶登记注册。发展船舶保税燃料加注、海事仲裁、航运金融等高端航运服务业。推动海员管理制度改革，探索搭建国际化海员交流服务平台，打造高度开放的船员综合服务基地。</w:t>
      </w:r>
      <w:r>
        <w:rPr>
          <w:rFonts w:ascii="FangSong_GB2312" w:eastAsia="FangSong_GB2312" w:hAnsi="FangSong_GB2312" w:cs="FangSong_GB2312" w:hint="eastAsia"/>
          <w:sz w:val="32"/>
          <w:szCs w:val="32"/>
        </w:rPr>
        <w:lastRenderedPageBreak/>
        <w:t>创新提供新能源船舶险、船舶建造险等产品，提升承保能力和信誉担保的国际认可度，发展国际航运再保险业务，推进航运离岸结算中心建设。发展船舶补给和维修产业，提升高端航运服务综合效能。</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38336003" w14:textId="77777777">
        <w:tc>
          <w:tcPr>
            <w:tcW w:w="5000" w:type="pct"/>
          </w:tcPr>
          <w:p w14:paraId="0693E4D0" w14:textId="77777777" w:rsidR="00000000" w:rsidRDefault="00000000">
            <w:pPr>
              <w:spacing w:line="59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专栏1  打造区域性航运枢纽</w:t>
            </w:r>
          </w:p>
          <w:p w14:paraId="72BDC099"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1.提升洋浦枢纽港集装箱服务能力、临高金牌港综合服务能力、东方八所港散货服务能力，形成区域性国际航运枢纽。</w:t>
            </w:r>
          </w:p>
          <w:p w14:paraId="7492A0E5" w14:textId="77777777" w:rsidR="00000000" w:rsidRDefault="00000000">
            <w:pPr>
              <w:spacing w:line="590" w:lineRule="exact"/>
              <w:ind w:firstLineChars="200" w:firstLine="640"/>
              <w:rPr>
                <w:rFonts w:eastAsia="FangSong_GB2312" w:cs="FangSong_GB2312" w:hint="eastAsia"/>
                <w:sz w:val="32"/>
                <w:szCs w:val="32"/>
              </w:rPr>
            </w:pPr>
            <w:r>
              <w:rPr>
                <w:rFonts w:ascii="FangSong_GB2312" w:eastAsia="FangSong_GB2312" w:hAnsi="FangSong_GB2312" w:cs="FangSong_GB2312" w:hint="eastAsia"/>
                <w:sz w:val="32"/>
                <w:szCs w:val="32"/>
              </w:rPr>
              <w:t>2.创新跨省产业协作与多式联运服务模式，通过湘琼先进制造业共建产业园及临港物流基地设施配套项目、广东海南先进制造业合作产业园、浙琼合作产业园、深儋合作区，构建连接内陆腹地与全球市场的供应链服务体系，提升国际航运枢纽的综合服务能级。</w:t>
            </w:r>
          </w:p>
        </w:tc>
      </w:tr>
    </w:tbl>
    <w:p w14:paraId="25F71F72"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74" w:name="_Toc10377"/>
      <w:bookmarkStart w:id="75" w:name="_Toc12473"/>
      <w:bookmarkStart w:id="76" w:name="_Toc10290"/>
      <w:r>
        <w:rPr>
          <w:rFonts w:ascii="FangSong_GB2312" w:eastAsia="FangSong_GB2312" w:hAnsi="FangSong_GB2312" w:cs="FangSong_GB2312" w:hint="eastAsia"/>
          <w:b/>
          <w:bCs/>
          <w:sz w:val="32"/>
          <w:szCs w:val="32"/>
        </w:rPr>
        <w:t>2.提升航空运输能级</w:t>
      </w:r>
      <w:bookmarkEnd w:id="74"/>
      <w:bookmarkEnd w:id="75"/>
      <w:bookmarkEnd w:id="76"/>
      <w:r>
        <w:rPr>
          <w:rFonts w:ascii="FangSong_GB2312" w:eastAsia="FangSong_GB2312" w:hAnsi="FangSong_GB2312" w:cs="FangSong_GB2312" w:hint="eastAsia"/>
          <w:b/>
          <w:bCs/>
          <w:sz w:val="32"/>
          <w:szCs w:val="32"/>
        </w:rPr>
        <w:t>。</w:t>
      </w:r>
    </w:p>
    <w:p w14:paraId="147E0F6A"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提高国际航空运输能力。</w:t>
      </w:r>
      <w:r>
        <w:rPr>
          <w:rFonts w:ascii="FangSong_GB2312" w:eastAsia="FangSong_GB2312" w:hAnsi="FangSong_GB2312" w:cs="FangSong_GB2312" w:hint="eastAsia"/>
          <w:sz w:val="32"/>
          <w:szCs w:val="32"/>
        </w:rPr>
        <w:t>用好航权开放政策，发展</w:t>
      </w:r>
      <w:bookmarkStart w:id="77" w:name="_Hlk218928610"/>
      <w:r>
        <w:rPr>
          <w:rFonts w:ascii="FangSong_GB2312" w:eastAsia="FangSong_GB2312" w:hAnsi="FangSong_GB2312" w:cs="FangSong_GB2312" w:hint="eastAsia"/>
          <w:sz w:val="32"/>
          <w:szCs w:val="32"/>
        </w:rPr>
        <w:t>全货机运输和临空高附加值物流</w:t>
      </w:r>
      <w:bookmarkEnd w:id="77"/>
      <w:r>
        <w:rPr>
          <w:rFonts w:ascii="FangSong_GB2312" w:eastAsia="FangSong_GB2312" w:hAnsi="FangSong_GB2312" w:cs="FangSong_GB2312" w:hint="eastAsia"/>
          <w:sz w:val="32"/>
          <w:szCs w:val="32"/>
        </w:rPr>
        <w:t>业务。加密至RCEP国家、欧美等地的空运航线，发展国际中转集拼业务，推动国际市场的高效联通。每年引进国际航空货运领军企业1-2家，国内龙头货运企业的航空部、跨境电商航空专线部、区域分拨中心等1-2家。到2030年，全省国际和地区航线稳定在100条左右。</w:t>
      </w:r>
    </w:p>
    <w:p w14:paraId="4322156C" w14:textId="77777777" w:rsidR="00000000" w:rsidRDefault="00000000">
      <w:pPr>
        <w:spacing w:line="58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构建联通内地核心经济圈的航空通道。</w:t>
      </w:r>
      <w:r>
        <w:rPr>
          <w:rFonts w:ascii="FangSong_GB2312" w:eastAsia="FangSong_GB2312" w:hAnsi="FangSong_GB2312" w:cs="FangSong_GB2312" w:hint="eastAsia"/>
          <w:sz w:val="32"/>
          <w:szCs w:val="32"/>
        </w:rPr>
        <w:t>强化内贸航线网络，加密海南至长三角、粤港澳、京津冀、成渝等国内主要经济区域的航空运输网络，开通至中部核心城市的产业联动航线及季节性</w:t>
      </w:r>
      <w:r>
        <w:rPr>
          <w:rFonts w:ascii="FangSong_GB2312" w:eastAsia="FangSong_GB2312" w:hAnsi="FangSong_GB2312" w:cs="FangSong_GB2312" w:hint="eastAsia"/>
          <w:sz w:val="32"/>
          <w:szCs w:val="32"/>
        </w:rPr>
        <w:lastRenderedPageBreak/>
        <w:t>生鲜货运专线，推动海南与国内市场精准对接。到2030年，国内航线增至500条左右。</w:t>
      </w:r>
    </w:p>
    <w:p w14:paraId="0D9CA7C1" w14:textId="77777777" w:rsidR="00000000" w:rsidRDefault="00000000">
      <w:pPr>
        <w:spacing w:line="58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系统性提升民航货物周转率。</w:t>
      </w:r>
      <w:r>
        <w:rPr>
          <w:rFonts w:ascii="FangSong_GB2312" w:eastAsia="FangSong_GB2312" w:hAnsi="FangSong_GB2312" w:cs="FangSong_GB2312" w:hint="eastAsia"/>
          <w:sz w:val="32"/>
          <w:szCs w:val="32"/>
        </w:rPr>
        <w:t>聚焦跨境电商、生鲜冷链、高端制造零部件等高附加值货物，发展航空冷链、航空保税业务，推广腹舱带货与全货机协同模式，提高客机腹舱利用率。构建航空联运体系，推进航空与高铁、港口、邮轮无缝衔接，开通机场至港口的专线接驳。支持物流企业在机场设立分拨中心，实现货物快速集散，打造内地—海南—东南亚中转通道，吸引岛外货物经海南中转集散。推行智慧调度，缩短货物通关时间，搭建航空货运信息平台，实现货源、运力精准匹配。实施美兰、凤凰机场扩容，夯实货运保障基础；优化博鳌机场设施，服务客运及医疗货运需求。到2030年，全省机场货邮吞吐量达到48万吨以上。</w:t>
      </w:r>
    </w:p>
    <w:tbl>
      <w:tblPr>
        <w:tblStyle w:val="TableGrid"/>
        <w:tblW w:w="5000" w:type="pct"/>
        <w:tblInd w:w="5" w:type="dxa"/>
        <w:tblLook w:val="0000" w:firstRow="0" w:lastRow="0" w:firstColumn="0" w:lastColumn="0" w:noHBand="0" w:noVBand="0"/>
      </w:tblPr>
      <w:tblGrid>
        <w:gridCol w:w="8834"/>
      </w:tblGrid>
      <w:tr w:rsidR="00000000" w14:paraId="2BD3427F" w14:textId="77777777">
        <w:tc>
          <w:tcPr>
            <w:tcW w:w="5000" w:type="pct"/>
          </w:tcPr>
          <w:p w14:paraId="4DDC5095" w14:textId="77777777" w:rsidR="00000000" w:rsidRDefault="00000000">
            <w:pPr>
              <w:spacing w:line="56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专栏2  推动临空经济发展</w:t>
            </w:r>
          </w:p>
          <w:p w14:paraId="180C4A2F" w14:textId="77777777" w:rsidR="00000000" w:rsidRDefault="00000000">
            <w:pPr>
              <w:spacing w:line="56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加快建设海口江东新区临空经济区，重点推进航空物流集散中心、航材贸易中心、航空OEM（原始设备制造）高端制造、国际航空维修基地、美华航空（海南）智慧产业园、海南国际智慧物贸云港、广药海南空港医药物流中心等项目建设，培育航空冷链、跨境寄递、飞机租赁和维修等高附加值服务业。</w:t>
            </w:r>
          </w:p>
          <w:p w14:paraId="2A86AFB0" w14:textId="77777777" w:rsidR="00000000" w:rsidRDefault="00000000">
            <w:pPr>
              <w:spacing w:line="56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2.提升国际客货运服务能级，依托三亚临空经济区及新机场综合保障区开发项目，集聚飞机维修、航空金融、保税物流等高端服务业态，推动航空运输向复合型“枢纽经济”转型升级。</w:t>
            </w:r>
          </w:p>
          <w:p w14:paraId="0C0EB8C6" w14:textId="77777777" w:rsidR="00000000" w:rsidRDefault="00000000">
            <w:pPr>
              <w:spacing w:line="560" w:lineRule="exact"/>
              <w:ind w:firstLineChars="200" w:firstLine="640"/>
              <w:rPr>
                <w:rFonts w:eastAsia="FangSong_GB2312" w:cs="FangSong_GB2312" w:hint="eastAsia"/>
                <w:sz w:val="32"/>
                <w:szCs w:val="32"/>
              </w:rPr>
            </w:pPr>
            <w:r>
              <w:rPr>
                <w:rFonts w:ascii="FangSong_GB2312" w:eastAsia="FangSong_GB2312" w:hAnsi="FangSong_GB2312" w:cs="FangSong_GB2312" w:hint="eastAsia"/>
                <w:sz w:val="32"/>
                <w:szCs w:val="32"/>
              </w:rPr>
              <w:t>3.构建通航综合服务保障体系，建设海南临高马袅通用机场</w:t>
            </w:r>
            <w:r>
              <w:rPr>
                <w:rFonts w:ascii="FangSong_GB2312" w:eastAsia="FangSong_GB2312" w:hAnsi="FangSong_GB2312" w:cs="FangSong_GB2312" w:hint="eastAsia"/>
                <w:sz w:val="32"/>
                <w:szCs w:val="32"/>
              </w:rPr>
              <w:lastRenderedPageBreak/>
              <w:t>及产业配套项目，重点发展应急救援、航空培训、低空旅游等新兴业态。</w:t>
            </w:r>
          </w:p>
        </w:tc>
      </w:tr>
    </w:tbl>
    <w:p w14:paraId="62AACF50"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78" w:name="_Toc6276"/>
      <w:bookmarkStart w:id="79" w:name="_Toc27241"/>
      <w:bookmarkStart w:id="80" w:name="_Toc13946"/>
      <w:r>
        <w:rPr>
          <w:rFonts w:ascii="FangSong_GB2312" w:eastAsia="FangSong_GB2312" w:hAnsi="FangSong_GB2312" w:cs="FangSong_GB2312" w:hint="eastAsia"/>
          <w:b/>
          <w:bCs/>
          <w:sz w:val="32"/>
          <w:szCs w:val="32"/>
        </w:rPr>
        <w:lastRenderedPageBreak/>
        <w:t>3.</w:t>
      </w:r>
      <w:bookmarkEnd w:id="78"/>
      <w:bookmarkEnd w:id="79"/>
      <w:bookmarkEnd w:id="80"/>
      <w:r>
        <w:rPr>
          <w:rFonts w:ascii="FangSong_GB2312" w:eastAsia="FangSong_GB2312" w:hAnsi="FangSong_GB2312" w:cs="FangSong_GB2312" w:hint="eastAsia"/>
          <w:b/>
          <w:bCs/>
          <w:sz w:val="32"/>
          <w:szCs w:val="32"/>
        </w:rPr>
        <w:t>增强现代物流综合竞争力。</w:t>
      </w:r>
    </w:p>
    <w:p w14:paraId="4DE00D59"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完善物流网络。</w:t>
      </w:r>
      <w:r>
        <w:rPr>
          <w:rFonts w:ascii="FangSong_GB2312" w:eastAsia="FangSong_GB2312" w:hAnsi="FangSong_GB2312" w:cs="FangSong_GB2312" w:hint="eastAsia"/>
          <w:sz w:val="32"/>
          <w:szCs w:val="32"/>
        </w:rPr>
        <w:t>建设一批高标准公共配送基地、专业配送中心及智慧物流园区，升级改造城乡末端共享设施网络，推进分布式仓储设施建设，完善市（县）、乡镇、村三级物流体系，推进农村客货邮融合发展。增强中部地区物流节点支撑作用，增强农产品产地冷藏保鲜、预冷、清选包装等服务能力，促进全岛物流网络均衡布局。“十五五”期间，每年引进冷链物流企业1-2家，供应链物流企业或大型物流企业售后供应链部1-2家，医药物流、新能源绿色物流以及大型物流企业综合即时配送部2-3家，数字货运平台或大型物流企业无人机物流部、同城货运部1家。</w:t>
      </w:r>
    </w:p>
    <w:p w14:paraId="276CEEA5"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深化智慧物流应用。</w:t>
      </w:r>
      <w:r>
        <w:rPr>
          <w:rFonts w:ascii="FangSong_GB2312" w:eastAsia="FangSong_GB2312" w:hAnsi="FangSong_GB2312" w:cs="FangSong_GB2312" w:hint="eastAsia"/>
          <w:sz w:val="32"/>
          <w:szCs w:val="32"/>
        </w:rPr>
        <w:t>搭建全省物流智慧一张网，集成公共数据和市场数据，构建“跨域—协同—监管—服务”智慧平台。拓展自动化无人装备、智能终端及智慧管理技术和装备在物流园区、港口的商业化应用场景。推进无人驾驶货车、可穿戴设备、智能快件箱、自动分拣机器人等数字化终端设备在智慧物流园区的普及应用，降低物流成本。</w:t>
      </w:r>
    </w:p>
    <w:p w14:paraId="190BE538"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创新发展低空物流。</w:t>
      </w:r>
      <w:r>
        <w:rPr>
          <w:rFonts w:ascii="FangSong_GB2312" w:eastAsia="FangSong_GB2312" w:hAnsi="FangSong_GB2312" w:cs="FangSong_GB2312" w:hint="eastAsia"/>
          <w:sz w:val="32"/>
          <w:szCs w:val="32"/>
        </w:rPr>
        <w:t>支持开展“无人机+生活场景”配送，服务海南特色水产品、热带水果、时效快递等货物外运需求。依托通用机场、马村港、金马物流园，探索货运电动垂直起降飞行</w:t>
      </w:r>
      <w:r>
        <w:rPr>
          <w:rFonts w:ascii="FangSong_GB2312" w:eastAsia="FangSong_GB2312" w:hAnsi="FangSong_GB2312" w:cs="FangSong_GB2312" w:hint="eastAsia"/>
          <w:sz w:val="32"/>
          <w:szCs w:val="32"/>
        </w:rPr>
        <w:lastRenderedPageBreak/>
        <w:t>器（eVTOL）、大载荷无人机跨海运输，全面提升物流时效，服务特色产品外运。支持各市县依托产业园、商圈、大学城，综合开发无人机外卖配送、急件闪送、即时零售等物流场景。</w:t>
      </w:r>
    </w:p>
    <w:tbl>
      <w:tblPr>
        <w:tblStyle w:val="TableGrid"/>
        <w:tblW w:w="5000" w:type="pct"/>
        <w:tblInd w:w="5" w:type="dxa"/>
        <w:tblLook w:val="0000" w:firstRow="0" w:lastRow="0" w:firstColumn="0" w:lastColumn="0" w:noHBand="0" w:noVBand="0"/>
      </w:tblPr>
      <w:tblGrid>
        <w:gridCol w:w="8834"/>
      </w:tblGrid>
      <w:tr w:rsidR="00000000" w14:paraId="258016C8" w14:textId="77777777">
        <w:tc>
          <w:tcPr>
            <w:tcW w:w="5000" w:type="pct"/>
          </w:tcPr>
          <w:p w14:paraId="78654E70" w14:textId="77777777" w:rsidR="00000000" w:rsidRDefault="00000000">
            <w:pPr>
              <w:spacing w:line="59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专栏3  构建现代物流服务体系</w:t>
            </w:r>
          </w:p>
          <w:p w14:paraId="617F0842" w14:textId="77777777" w:rsidR="00000000" w:rsidRDefault="00000000">
            <w:pPr>
              <w:spacing w:line="590" w:lineRule="exact"/>
              <w:ind w:firstLine="56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1.完善物流网络。推进三亚城郊大仓冷链物流园项目、新海陆岛物流园区起步区工程项目、三亚（乐东）临港物流园项目、海口市综合交运设施物流集散枢纽建设项目和保亭加茂物流产业园区项目落地。</w:t>
            </w:r>
          </w:p>
          <w:p w14:paraId="616CC9A1" w14:textId="77777777" w:rsidR="00000000" w:rsidRDefault="00000000">
            <w:pPr>
              <w:spacing w:line="590" w:lineRule="exact"/>
              <w:ind w:firstLineChars="200" w:firstLine="640"/>
              <w:rPr>
                <w:rFonts w:eastAsia="FangSong_GB2312" w:cs="FangSong_GB2312" w:hint="eastAsia"/>
                <w:sz w:val="32"/>
                <w:szCs w:val="32"/>
              </w:rPr>
            </w:pPr>
            <w:r>
              <w:rPr>
                <w:rFonts w:ascii="FangSong_GB2312" w:eastAsia="FangSong_GB2312" w:hAnsi="FangSong_GB2312" w:cs="FangSong_GB2312" w:hint="eastAsia"/>
                <w:sz w:val="32"/>
                <w:szCs w:val="32"/>
              </w:rPr>
              <w:t>2.创新发展低空物流。落实海南航天城低空经济产业示范项目，吸引研发制造、运营维修及低空保障等全产业链集聚，推动无人机物流发展。推进澄迈-徐闻跨海低空货运通道项目，高效承接海南特色产品、工业零配件等快递运输需求，全面提升本岛物流时效。</w:t>
            </w:r>
          </w:p>
        </w:tc>
      </w:tr>
    </w:tbl>
    <w:p w14:paraId="3DF6C2B5" w14:textId="77777777" w:rsidR="00000000" w:rsidRDefault="00000000">
      <w:pPr>
        <w:spacing w:line="600" w:lineRule="exact"/>
        <w:ind w:firstLineChars="200" w:firstLine="640"/>
        <w:outlineLvl w:val="1"/>
        <w:rPr>
          <w:rFonts w:eastAsia="KaiTi_GB2312" w:cs="KaiTi_GB2312" w:hint="eastAsia"/>
          <w:sz w:val="32"/>
          <w:szCs w:val="32"/>
        </w:rPr>
      </w:pPr>
      <w:bookmarkStart w:id="81" w:name="_Toc18153"/>
      <w:bookmarkStart w:id="82" w:name="_Toc21996"/>
      <w:bookmarkEnd w:id="66"/>
      <w:r>
        <w:rPr>
          <w:rFonts w:eastAsia="KaiTi_GB2312" w:cs="KaiTi_GB2312" w:hint="eastAsia"/>
          <w:sz w:val="32"/>
          <w:szCs w:val="32"/>
        </w:rPr>
        <w:t>（二）创新发展信息软件服务，构建数智服务开放生态</w:t>
      </w:r>
      <w:bookmarkEnd w:id="81"/>
      <w:bookmarkEnd w:id="82"/>
      <w:r>
        <w:rPr>
          <w:rFonts w:eastAsia="KaiTi_GB2312" w:cs="KaiTi_GB2312" w:hint="eastAsia"/>
          <w:sz w:val="32"/>
          <w:szCs w:val="32"/>
        </w:rPr>
        <w:t>。</w:t>
      </w:r>
    </w:p>
    <w:p w14:paraId="3E98819B" w14:textId="77777777" w:rsidR="00000000" w:rsidRDefault="00000000">
      <w:pPr>
        <w:spacing w:line="600" w:lineRule="exact"/>
        <w:ind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紧扣“向数图强”，以打造数智服务创新高地和数据安全有序流动集聚区为重点，集聚有国际竞争力的数智服务企业。抢抓大数据、人工智能发展风口，培育一批具有行业引领力的数智服务龙头企业和标志性项目。“十五五”期间，信息传输、软件和信息技术服务业增加值年均增速达到6%。</w:t>
      </w:r>
    </w:p>
    <w:p w14:paraId="7BB0E7B4"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83" w:name="_Toc6502"/>
      <w:bookmarkStart w:id="84" w:name="_Toc32423"/>
      <w:bookmarkStart w:id="85" w:name="_Toc13703"/>
      <w:r>
        <w:rPr>
          <w:rFonts w:ascii="FangSong_GB2312" w:eastAsia="FangSong_GB2312" w:hAnsi="FangSong_GB2312" w:cs="FangSong_GB2312" w:hint="eastAsia"/>
          <w:b/>
          <w:bCs/>
          <w:sz w:val="32"/>
          <w:szCs w:val="32"/>
        </w:rPr>
        <w:t>1.提升面向全球的数智服务承接能力</w:t>
      </w:r>
      <w:bookmarkEnd w:id="83"/>
      <w:bookmarkEnd w:id="84"/>
      <w:r>
        <w:rPr>
          <w:rFonts w:ascii="FangSong_GB2312" w:eastAsia="FangSong_GB2312" w:hAnsi="FangSong_GB2312" w:cs="FangSong_GB2312" w:hint="eastAsia"/>
          <w:b/>
          <w:bCs/>
          <w:sz w:val="32"/>
          <w:szCs w:val="32"/>
        </w:rPr>
        <w:t>。</w:t>
      </w:r>
    </w:p>
    <w:p w14:paraId="4CB5E0C5" w14:textId="77777777" w:rsidR="00000000" w:rsidRDefault="00000000">
      <w:pPr>
        <w:overflowPunct w:val="0"/>
        <w:spacing w:line="600" w:lineRule="exact"/>
        <w:ind w:firstLine="640"/>
        <w:rPr>
          <w:rFonts w:ascii="FangSong_GB2312" w:eastAsia="FangSong_GB2312" w:hAnsi="FangSong_GB2312" w:cs="FangSong_GB2312" w:hint="eastAsia"/>
          <w:bCs/>
          <w:sz w:val="32"/>
          <w:szCs w:val="32"/>
        </w:rPr>
      </w:pPr>
      <w:r>
        <w:rPr>
          <w:rFonts w:ascii="FangSong_GB2312" w:eastAsia="FangSong_GB2312" w:hAnsi="FangSong_GB2312" w:cs="FangSong_GB2312" w:hint="eastAsia"/>
          <w:b/>
          <w:bCs/>
          <w:sz w:val="32"/>
          <w:szCs w:val="32"/>
        </w:rPr>
        <w:t>打造数据服务开放与应用高地。</w:t>
      </w:r>
      <w:r>
        <w:rPr>
          <w:rFonts w:ascii="FangSong_GB2312" w:eastAsia="FangSong_GB2312" w:hAnsi="FangSong_GB2312" w:cs="FangSong_GB2312" w:hint="eastAsia"/>
          <w:sz w:val="32"/>
          <w:szCs w:val="32"/>
        </w:rPr>
        <w:t>建设面向欧盟、东盟的数字加工贸易区，开展商业、文化、工业、地理信息等数据跨境服务。</w:t>
      </w:r>
      <w:r>
        <w:rPr>
          <w:rFonts w:ascii="FangSong_GB2312" w:eastAsia="FangSong_GB2312" w:hAnsi="FangSong_GB2312" w:cs="FangSong_GB2312" w:hint="eastAsia"/>
          <w:sz w:val="32"/>
          <w:szCs w:val="32"/>
        </w:rPr>
        <w:lastRenderedPageBreak/>
        <w:t>培育数据合作联合体，大力吸引国际数据服务企业入驻，</w:t>
      </w:r>
      <w:r>
        <w:rPr>
          <w:rFonts w:ascii="FangSong_GB2312" w:eastAsia="FangSong_GB2312" w:hAnsi="FangSong_GB2312" w:cs="FangSong_GB2312" w:hint="eastAsia"/>
          <w:bCs/>
          <w:sz w:val="32"/>
          <w:szCs w:val="32"/>
        </w:rPr>
        <w:t>为境内外客户提供数据清洗、挖掘、托管、交易等专业服务。</w:t>
      </w:r>
      <w:r>
        <w:rPr>
          <w:rFonts w:ascii="FangSong_GB2312" w:eastAsia="FangSong_GB2312" w:hAnsi="FangSong_GB2312" w:cs="FangSong_GB2312" w:hint="eastAsia"/>
          <w:sz w:val="32"/>
          <w:szCs w:val="32"/>
        </w:rPr>
        <w:t>探索建立国际数据交易中心，建立分类分级的数据确权、评估、定价机制，</w:t>
      </w:r>
      <w:r>
        <w:rPr>
          <w:rFonts w:ascii="FangSong_GB2312" w:eastAsia="FangSong_GB2312" w:hAnsi="FangSong_GB2312" w:cs="FangSong_GB2312" w:hint="eastAsia"/>
          <w:bCs/>
          <w:sz w:val="32"/>
          <w:szCs w:val="32"/>
        </w:rPr>
        <w:t>探索“绿电+智算”出海服务新模式</w:t>
      </w:r>
      <w:r>
        <w:rPr>
          <w:rFonts w:ascii="FangSong_GB2312" w:eastAsia="FangSong_GB2312" w:hAnsi="FangSong_GB2312" w:cs="FangSong_GB2312" w:hint="eastAsia"/>
          <w:sz w:val="32"/>
          <w:szCs w:val="32"/>
        </w:rPr>
        <w:t>。</w:t>
      </w:r>
      <w:r>
        <w:rPr>
          <w:rFonts w:ascii="FangSong_GB2312" w:eastAsia="FangSong_GB2312" w:hAnsi="FangSong_GB2312" w:cs="FangSong_GB2312" w:hint="eastAsia"/>
          <w:bCs/>
          <w:sz w:val="32"/>
          <w:szCs w:val="32"/>
        </w:rPr>
        <w:t>加快海口国家数据标注基地试点建设，重点承接国内外AI大模型训练所需的高质量数据集标注与处理服务。“十五五”期间，每年引育数据服务商和大模型标注服务企业1-2家，引进数字内容制作和出海服务龙头企业1-2家。到2030年，软件与信息技术服务业规上企业数量超过140家。</w:t>
      </w:r>
    </w:p>
    <w:p w14:paraId="787CD37C" w14:textId="77777777" w:rsidR="00000000" w:rsidRDefault="00000000">
      <w:pPr>
        <w:overflowPunct w:val="0"/>
        <w:spacing w:line="600" w:lineRule="exact"/>
        <w:ind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丰富数字内容创作与出海服务。</w:t>
      </w:r>
      <w:r>
        <w:rPr>
          <w:rFonts w:ascii="FangSong_GB2312" w:eastAsia="FangSong_GB2312" w:hAnsi="FangSong_GB2312" w:cs="FangSong_GB2312" w:hint="eastAsia"/>
          <w:sz w:val="32"/>
          <w:szCs w:val="32"/>
        </w:rPr>
        <w:t>在海口、三亚、澄迈、陵水等地加快建设数字内容共创平台，开发云端协同创作、素材合规审核、版权存证确权等核心功能。积极发展游戏动漫、网络短剧、跨境直播等数字内容出海业务。深度挖掘海南特色IP，鼓励数字影视、游戏与航天、深海、文旅、非遗传承等领域跨界融合创作。以市场需求为导向，重点面向日韩和东南亚等“一带一路”沿线地区市场，引进优质影音、游戏、设计素材，进行本地化数字内容生产。</w:t>
      </w:r>
    </w:p>
    <w:p w14:paraId="67CA27CB" w14:textId="77777777" w:rsidR="00000000" w:rsidRDefault="00000000">
      <w:pPr>
        <w:overflowPunct w:val="0"/>
        <w:spacing w:line="600" w:lineRule="exact"/>
        <w:ind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加强软件和信息技术服务能力建设。</w:t>
      </w:r>
      <w:r>
        <w:rPr>
          <w:rFonts w:ascii="FangSong_GB2312" w:eastAsia="FangSong_GB2312" w:hAnsi="FangSong_GB2312" w:cs="FangSong_GB2312" w:hint="eastAsia"/>
          <w:sz w:val="32"/>
          <w:szCs w:val="32"/>
        </w:rPr>
        <w:t>围绕“五向图强”战略部署，支持软件企业扩大在琼业务规模，支撑商业航天、低空经济、海洋监测勘察、科研育种、热带农业、文旅康养、数据要素开发等海南特色场景数字化应用和AI垂类模型研发。深入实施“人工智能+”行动，以行业智能化需求为牵引，建设市场导向</w:t>
      </w:r>
      <w:r>
        <w:rPr>
          <w:rFonts w:ascii="FangSong_GB2312" w:eastAsia="FangSong_GB2312" w:hAnsi="FangSong_GB2312" w:cs="FangSong_GB2312" w:hint="eastAsia"/>
          <w:sz w:val="32"/>
          <w:szCs w:val="32"/>
        </w:rPr>
        <w:lastRenderedPageBreak/>
        <w:t>的高质量行业数据集，大力吸引数据服务、算法研发、系统集成、智能运维及大模型应用等人工智能技术服务企业落地。深入推进第五代移动通信（5G）规模化应用，适度超前建设移动物联网。</w:t>
      </w:r>
    </w:p>
    <w:p w14:paraId="51657860"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86" w:name="_Toc25520"/>
      <w:r>
        <w:rPr>
          <w:rFonts w:ascii="FangSong_GB2312" w:eastAsia="FangSong_GB2312" w:hAnsi="FangSong_GB2312" w:cs="FangSong_GB2312" w:hint="eastAsia"/>
          <w:b/>
          <w:bCs/>
          <w:sz w:val="32"/>
          <w:szCs w:val="32"/>
        </w:rPr>
        <w:t>2.拓展重点行业数字化应用场景</w:t>
      </w:r>
      <w:bookmarkEnd w:id="85"/>
      <w:bookmarkEnd w:id="86"/>
      <w:r>
        <w:rPr>
          <w:rFonts w:ascii="FangSong_GB2312" w:eastAsia="FangSong_GB2312" w:hAnsi="FangSong_GB2312" w:cs="FangSong_GB2312" w:hint="eastAsia"/>
          <w:b/>
          <w:bCs/>
          <w:sz w:val="32"/>
          <w:szCs w:val="32"/>
        </w:rPr>
        <w:t>。</w:t>
      </w:r>
    </w:p>
    <w:p w14:paraId="3CC7EEB7"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推动先进制造业数实融合。</w:t>
      </w:r>
      <w:r>
        <w:rPr>
          <w:rFonts w:ascii="FangSong_GB2312" w:eastAsia="FangSong_GB2312" w:hAnsi="FangSong_GB2312" w:cs="FangSong_GB2312" w:hint="eastAsia"/>
          <w:sz w:val="32"/>
          <w:szCs w:val="32"/>
        </w:rPr>
        <w:t>聚焦石化新材料、现代生物医药、高端装备制造等重点产业，引导优质企业入驻海口药谷、三亚深海科技城、文昌国际航天城等园区，培育领航级智能工程，打造具备感知、决策和执行能力的工业智能体。梯度培育一批标杆性数字化车间、智能工厂、黑灯工厂。搭建多层次工业互联网平台体系，提升行业数字化解决方案供给能力。每年引育行业级工业互联网平台服务商1家。</w:t>
      </w:r>
    </w:p>
    <w:p w14:paraId="5D1DB546"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培育现代服务业数字化创新场景。</w:t>
      </w:r>
      <w:r>
        <w:rPr>
          <w:rFonts w:ascii="FangSong_GB2312" w:eastAsia="FangSong_GB2312" w:hAnsi="FangSong_GB2312" w:cs="FangSong_GB2312" w:hint="eastAsia"/>
          <w:sz w:val="32"/>
          <w:szCs w:val="32"/>
        </w:rPr>
        <w:t>物流方面，儋洋经济开发区、江东新区优化智慧供应链平台服务，覆盖采购、仓储、物流全流程，支持跨境物流、冷链物流、低空物流等场景的数字化升级。专业服务方面，开发智慧会展、数字法律、跨境人力资源等场景。探索建立汽车数据可信数据空间，推动汽车数据跨境服务落地运行。鼓励AI技术在金融、零售、医疗康养、住宿餐饮等领域深度应用，打造一批“数智+行业”示范工程。以热带特色高效农业数字化服务需求为导向，建设智慧种养基地、数字化种苗工厂和全流程溯源体系。</w:t>
      </w:r>
    </w:p>
    <w:tbl>
      <w:tblPr>
        <w:tblStyle w:val="TableGrid"/>
        <w:tblW w:w="5000" w:type="pct"/>
        <w:tblInd w:w="5" w:type="dxa"/>
        <w:tblLook w:val="0000" w:firstRow="0" w:lastRow="0" w:firstColumn="0" w:lastColumn="0" w:noHBand="0" w:noVBand="0"/>
      </w:tblPr>
      <w:tblGrid>
        <w:gridCol w:w="8834"/>
      </w:tblGrid>
      <w:tr w:rsidR="00000000" w14:paraId="245EF3B7" w14:textId="77777777">
        <w:tc>
          <w:tcPr>
            <w:tcW w:w="5000" w:type="pct"/>
          </w:tcPr>
          <w:p w14:paraId="57C0339E" w14:textId="77777777" w:rsidR="00000000" w:rsidRDefault="00000000">
            <w:pPr>
              <w:spacing w:line="59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专栏4  培育信息软件服务新动能</w:t>
            </w:r>
          </w:p>
          <w:p w14:paraId="0389118A" w14:textId="77777777" w:rsidR="00000000" w:rsidRDefault="00000000">
            <w:pPr>
              <w:spacing w:line="590" w:lineRule="exact"/>
              <w:ind w:firstLine="56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1.用好复兴城国际数据港二期、润泽自贸港国际信息港、海</w:t>
            </w:r>
            <w:r>
              <w:rPr>
                <w:rFonts w:ascii="FangSong_GB2312" w:eastAsia="FangSong_GB2312" w:hAnsi="FangSong_GB2312" w:cs="FangSong_GB2312" w:hint="eastAsia"/>
                <w:sz w:val="32"/>
                <w:szCs w:val="32"/>
              </w:rPr>
              <w:lastRenderedPageBreak/>
              <w:t>南东方核云基绿数中心、乐东绿算综合中心等绿色算力与数据存储基础设施，形成若干国际数据服务集聚区。</w:t>
            </w:r>
          </w:p>
          <w:p w14:paraId="3C728624" w14:textId="77777777" w:rsidR="00000000" w:rsidRDefault="00000000">
            <w:pPr>
              <w:spacing w:line="590" w:lineRule="exact"/>
              <w:ind w:firstLine="56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2.依托AI平台赋能传统产业提质增效，加快建设运营东方临港产业园科创孵化器总部基地项目、三亚崖州湾实验室建设二期项目、陵水海南国际设计岛教育与应用创新中心、陵水数字文化产业园产业及配套设施项目。</w:t>
            </w:r>
          </w:p>
          <w:p w14:paraId="1090F6F6"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3.聚焦高附加值信息软件服务业态，加快建设文昌国际航天城产业提升及配套项目、航天遥感数据智能化处理项目；拓展“来数加工”场景，做大游戏出海、影视后期渲染、人工智能训练数据标注等场景。支持海口龙华动漫小镇、澄迈老城科技新城培育数字游民、一人公司（OPC）等新兴业态。</w:t>
            </w:r>
          </w:p>
        </w:tc>
      </w:tr>
    </w:tbl>
    <w:p w14:paraId="69B87DBB" w14:textId="77777777" w:rsidR="00000000" w:rsidRDefault="00000000">
      <w:pPr>
        <w:spacing w:line="600" w:lineRule="exact"/>
        <w:ind w:firstLineChars="200" w:firstLine="640"/>
        <w:outlineLvl w:val="1"/>
        <w:rPr>
          <w:rFonts w:eastAsia="KaiTi_GB2312" w:cs="KaiTi_GB2312" w:hint="eastAsia"/>
          <w:sz w:val="32"/>
          <w:szCs w:val="32"/>
        </w:rPr>
      </w:pPr>
      <w:bookmarkStart w:id="87" w:name="_Toc31131"/>
      <w:bookmarkStart w:id="88" w:name="_Toc10848"/>
      <w:r>
        <w:rPr>
          <w:rFonts w:eastAsia="KaiTi_GB2312" w:cs="KaiTi_GB2312" w:hint="eastAsia"/>
          <w:sz w:val="32"/>
          <w:szCs w:val="32"/>
        </w:rPr>
        <w:lastRenderedPageBreak/>
        <w:t>（三）</w:t>
      </w:r>
      <w:bookmarkEnd w:id="87"/>
      <w:r>
        <w:rPr>
          <w:rFonts w:eastAsia="KaiTi_GB2312" w:cs="KaiTi_GB2312" w:hint="eastAsia"/>
          <w:sz w:val="32"/>
          <w:szCs w:val="32"/>
        </w:rPr>
        <w:t>建设跨境金融创新高地，增强金融服务实体经济能力</w:t>
      </w:r>
      <w:bookmarkEnd w:id="88"/>
      <w:r>
        <w:rPr>
          <w:rFonts w:eastAsia="KaiTi_GB2312" w:cs="KaiTi_GB2312" w:hint="eastAsia"/>
          <w:sz w:val="32"/>
          <w:szCs w:val="32"/>
        </w:rPr>
        <w:t>。</w:t>
      </w:r>
    </w:p>
    <w:p w14:paraId="65BC6F5C"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推动</w:t>
      </w:r>
      <w:r>
        <w:rPr>
          <w:rFonts w:ascii="FangSong_GB2312" w:eastAsia="FangSong_GB2312" w:hAnsi="FangSong_GB2312" w:cs="FangSong_GB2312" w:hint="eastAsia"/>
          <w:sz w:val="32"/>
          <w:szCs w:val="32"/>
          <w:lang w:bidi="ar"/>
        </w:rPr>
        <w:t>金融业机构、市场、产品、基础设施、制度、管理、人才的开放</w:t>
      </w:r>
      <w:r>
        <w:rPr>
          <w:rFonts w:ascii="FangSong_GB2312" w:eastAsia="FangSong_GB2312" w:hAnsi="FangSong_GB2312" w:cs="FangSong_GB2312" w:hint="eastAsia"/>
          <w:sz w:val="32"/>
          <w:szCs w:val="32"/>
        </w:rPr>
        <w:t>，构建自贸港特色金融体系。“十五五”期间，金融业增加值年均增速达到7%。</w:t>
      </w:r>
    </w:p>
    <w:p w14:paraId="09090301"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89" w:name="_Toc19690"/>
      <w:bookmarkStart w:id="90" w:name="_Toc185"/>
      <w:r>
        <w:rPr>
          <w:rFonts w:ascii="FangSong_GB2312" w:eastAsia="FangSong_GB2312" w:hAnsi="FangSong_GB2312" w:cs="FangSong_GB2312" w:hint="eastAsia"/>
          <w:b/>
          <w:bCs/>
          <w:sz w:val="32"/>
          <w:szCs w:val="32"/>
        </w:rPr>
        <w:t>1.完善现代金融业态</w:t>
      </w:r>
      <w:bookmarkEnd w:id="89"/>
      <w:bookmarkEnd w:id="90"/>
      <w:r>
        <w:rPr>
          <w:rFonts w:ascii="FangSong_GB2312" w:eastAsia="FangSong_GB2312" w:hAnsi="FangSong_GB2312" w:cs="FangSong_GB2312" w:hint="eastAsia"/>
          <w:b/>
          <w:bCs/>
          <w:sz w:val="32"/>
          <w:szCs w:val="32"/>
        </w:rPr>
        <w:t>。</w:t>
      </w:r>
    </w:p>
    <w:p w14:paraId="39C4E407" w14:textId="77777777" w:rsidR="00000000" w:rsidRDefault="00000000">
      <w:pPr>
        <w:spacing w:line="600" w:lineRule="exact"/>
        <w:ind w:firstLineChars="200" w:firstLine="640"/>
        <w:rPr>
          <w:rFonts w:ascii="FangSong_GB2312" w:eastAsia="FangSong_GB2312" w:hAnsi="FangSong_GB2312" w:cs="FangSong_GB2312" w:hint="eastAsia"/>
          <w:sz w:val="32"/>
          <w:szCs w:val="32"/>
          <w:lang w:bidi="ar"/>
        </w:rPr>
      </w:pPr>
      <w:r>
        <w:rPr>
          <w:rFonts w:ascii="FangSong_GB2312" w:eastAsia="FangSong_GB2312" w:hAnsi="FangSong_GB2312" w:cs="FangSong_GB2312" w:hint="eastAsia"/>
          <w:b/>
          <w:bCs/>
          <w:sz w:val="32"/>
          <w:szCs w:val="32"/>
          <w:lang w:bidi="ar"/>
        </w:rPr>
        <w:t>丰富金融业主体。</w:t>
      </w:r>
      <w:r>
        <w:rPr>
          <w:rFonts w:ascii="FangSong_GB2312" w:eastAsia="FangSong_GB2312" w:hAnsi="FangSong_GB2312" w:cs="FangSong_GB2312" w:hint="eastAsia"/>
          <w:sz w:val="32"/>
          <w:szCs w:val="32"/>
          <w:lang w:bidi="ar"/>
        </w:rPr>
        <w:t>积极引进境内外持牌金融机构，支持海南交易场所高质量发展。引进头部外资银行、证券公司、基金管理公司、银行理财子公司、保险资产管理公司、金融资产投资公司和信托公司等在琼设立独资或合资的法人金融机构，引进财产险公司、人身险公司、再保险公司以及相互保险组织和自保公司。</w:t>
      </w:r>
    </w:p>
    <w:p w14:paraId="516CAFE4" w14:textId="77777777" w:rsidR="00000000" w:rsidRDefault="00000000">
      <w:pPr>
        <w:spacing w:line="600" w:lineRule="exact"/>
        <w:ind w:firstLineChars="200" w:firstLine="640"/>
        <w:rPr>
          <w:rFonts w:ascii="FangSong_GB2312" w:eastAsia="FangSong_GB2312" w:hAnsi="FangSong_GB2312" w:cs="FangSong_GB2312" w:hint="eastAsia"/>
          <w:sz w:val="32"/>
          <w:szCs w:val="32"/>
          <w:lang w:bidi="ar"/>
        </w:rPr>
      </w:pPr>
      <w:r>
        <w:rPr>
          <w:rFonts w:ascii="FangSong_GB2312" w:eastAsia="FangSong_GB2312" w:hAnsi="FangSong_GB2312" w:cs="FangSong_GB2312" w:hint="eastAsia"/>
          <w:b/>
          <w:bCs/>
          <w:sz w:val="32"/>
          <w:szCs w:val="32"/>
          <w:lang w:bidi="ar"/>
        </w:rPr>
        <w:t>促进金融业务多元化发展。</w:t>
      </w:r>
      <w:r>
        <w:rPr>
          <w:rFonts w:ascii="FangSong_GB2312" w:eastAsia="FangSong_GB2312" w:hAnsi="FangSong_GB2312" w:cs="FangSong_GB2312" w:hint="eastAsia"/>
          <w:sz w:val="32"/>
          <w:szCs w:val="32"/>
          <w:lang w:bidi="ar"/>
        </w:rPr>
        <w:t>精准释放租赁政策，做大飞机和</w:t>
      </w:r>
      <w:r>
        <w:rPr>
          <w:rFonts w:ascii="FangSong_GB2312" w:eastAsia="FangSong_GB2312" w:hAnsi="FangSong_GB2312" w:cs="FangSong_GB2312" w:hint="eastAsia"/>
          <w:sz w:val="32"/>
          <w:szCs w:val="32"/>
          <w:lang w:bidi="ar"/>
        </w:rPr>
        <w:lastRenderedPageBreak/>
        <w:t>船舶租赁产业。引进跨境资产管理机构，提升资管产品竞争力</w:t>
      </w:r>
      <w:r>
        <w:rPr>
          <w:rFonts w:ascii="FangSong_GB2312" w:eastAsia="FangSong_GB2312" w:hAnsi="FangSong_GB2312" w:cs="FangSong_GB2312" w:hint="eastAsia"/>
          <w:sz w:val="32"/>
          <w:szCs w:val="32"/>
        </w:rPr>
        <w:t>，促进跨境资金集中运营中心集聚发展，逐步形成牌照齐全、结构合理、功能互补的现代金融业态。</w:t>
      </w:r>
    </w:p>
    <w:p w14:paraId="51A4A561"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91" w:name="_Toc13641"/>
      <w:bookmarkStart w:id="92" w:name="_Toc2285"/>
      <w:r>
        <w:rPr>
          <w:rFonts w:ascii="FangSong_GB2312" w:eastAsia="FangSong_GB2312" w:hAnsi="FangSong_GB2312" w:cs="FangSong_GB2312" w:hint="eastAsia"/>
          <w:b/>
          <w:bCs/>
          <w:sz w:val="32"/>
          <w:szCs w:val="32"/>
        </w:rPr>
        <w:t>2.强化金融支持作用</w:t>
      </w:r>
      <w:bookmarkEnd w:id="91"/>
      <w:bookmarkEnd w:id="92"/>
      <w:r>
        <w:rPr>
          <w:rFonts w:ascii="FangSong_GB2312" w:eastAsia="FangSong_GB2312" w:hAnsi="FangSong_GB2312" w:cs="FangSong_GB2312" w:hint="eastAsia"/>
          <w:b/>
          <w:bCs/>
          <w:sz w:val="32"/>
          <w:szCs w:val="32"/>
        </w:rPr>
        <w:t>。</w:t>
      </w:r>
    </w:p>
    <w:p w14:paraId="34695521"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强化基金引导。</w:t>
      </w:r>
      <w:r>
        <w:rPr>
          <w:rFonts w:ascii="FangSong_GB2312" w:eastAsia="FangSong_GB2312" w:hAnsi="FangSong_GB2312" w:cs="FangSong_GB2312" w:hint="eastAsia"/>
          <w:sz w:val="32"/>
          <w:szCs w:val="32"/>
          <w:lang w:bidi="ar"/>
        </w:rPr>
        <w:t>健全政府投资基金分层分类管理体系，完善进入、管理和退出机制，推动政策引导与市场运作有机融合。加快构建包括天使投资、风险投资等在内的产业基金体系。</w:t>
      </w:r>
    </w:p>
    <w:p w14:paraId="47F39320"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加大信贷支撑。</w:t>
      </w:r>
      <w:r>
        <w:rPr>
          <w:rFonts w:ascii="FangSong_GB2312" w:eastAsia="FangSong_GB2312" w:hAnsi="FangSong_GB2312" w:cs="FangSong_GB2312" w:hint="eastAsia"/>
          <w:sz w:val="32"/>
          <w:szCs w:val="32"/>
        </w:rPr>
        <w:t>健全重大项目融资对接机制，加大对主导产业信贷支持力度。完善蓝色金融标准，深化产品服务创新，打造蓝色金融“海南样本”。用好碳减排支持工具，推动金融资源向清洁能源、节能降碳、资源循环利用等领域倾斜，健全绿色金融信息披露机制。</w:t>
      </w:r>
    </w:p>
    <w:p w14:paraId="66601F0B"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拓宽融资渠道。</w:t>
      </w:r>
      <w:r>
        <w:rPr>
          <w:rFonts w:ascii="FangSong_GB2312" w:eastAsia="FangSong_GB2312" w:hAnsi="FangSong_GB2312" w:cs="FangSong_GB2312" w:hint="eastAsia"/>
          <w:sz w:val="32"/>
          <w:szCs w:val="32"/>
        </w:rPr>
        <w:t>通过专项调研、政策宣讲、经验交流等方式，加大拟上市企业培育力度。扩大直接融资渠道，开展多层次资本市场政策常态化培训。引导金融机构在依法合规、风险可控前提下，开展基于存货、订单、仓单等的动产和权利质押融资。积极引进保险系、银行系长期耐心资本，积极发展私募股权和创投基金，高质量建设区域性股权市场。发挥国家创业投资引导基金作用，优化推广“创新积分制”。</w:t>
      </w:r>
    </w:p>
    <w:p w14:paraId="1093E2D5"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完善保险体系。</w:t>
      </w:r>
      <w:r>
        <w:rPr>
          <w:rFonts w:ascii="FangSong_GB2312" w:eastAsia="FangSong_GB2312" w:hAnsi="FangSong_GB2312" w:cs="FangSong_GB2312" w:hint="eastAsia"/>
          <w:sz w:val="32"/>
          <w:szCs w:val="32"/>
        </w:rPr>
        <w:t>完善商业保险体系，扩大普惠型民生保险保障覆盖面。大力发展家庭财产险、企业财产险、安全责任险、科技保险。探索发展多层次巨灾保险，完善政策性农业保险体系。</w:t>
      </w:r>
      <w:r>
        <w:rPr>
          <w:rFonts w:ascii="FangSong_GB2312" w:eastAsia="FangSong_GB2312" w:hAnsi="FangSong_GB2312" w:cs="FangSong_GB2312" w:hint="eastAsia"/>
          <w:sz w:val="32"/>
          <w:szCs w:val="32"/>
        </w:rPr>
        <w:lastRenderedPageBreak/>
        <w:t>丰富航运保险、出口信用保险、蓝色保险等产品服务，探索开展碳保险业务。扩大产品研发责任险覆盖范围，推广中试服务险，落实好首台（套）保险补偿政策。支持开展面向境外客户的保险、再保险及资金运用业务，探索发展境外旅游险等产品，形成多层次跨境保险服务。</w:t>
      </w:r>
    </w:p>
    <w:p w14:paraId="1471C632" w14:textId="77777777" w:rsidR="00000000" w:rsidRDefault="00000000">
      <w:pPr>
        <w:spacing w:line="600" w:lineRule="exact"/>
        <w:ind w:firstLineChars="200" w:firstLine="640"/>
        <w:outlineLvl w:val="1"/>
        <w:rPr>
          <w:rFonts w:eastAsia="KaiTi_GB2312" w:cs="KaiTi_GB2312" w:hint="eastAsia"/>
          <w:sz w:val="32"/>
          <w:szCs w:val="32"/>
        </w:rPr>
      </w:pPr>
      <w:bookmarkStart w:id="93" w:name="_Toc28437"/>
      <w:bookmarkStart w:id="94" w:name="_Toc18679"/>
      <w:r>
        <w:rPr>
          <w:rFonts w:eastAsia="KaiTi_GB2312" w:cs="KaiTi_GB2312" w:hint="eastAsia"/>
          <w:sz w:val="32"/>
          <w:szCs w:val="32"/>
        </w:rPr>
        <w:t>（四）构建现代化批发业产业体系，</w:t>
      </w:r>
      <w:bookmarkEnd w:id="93"/>
      <w:r>
        <w:rPr>
          <w:rFonts w:eastAsia="KaiTi_GB2312" w:cs="KaiTi_GB2312" w:hint="eastAsia"/>
          <w:sz w:val="32"/>
          <w:szCs w:val="32"/>
        </w:rPr>
        <w:t>提升内外贸能级</w:t>
      </w:r>
      <w:bookmarkEnd w:id="94"/>
      <w:r>
        <w:rPr>
          <w:rFonts w:eastAsia="KaiTi_GB2312" w:cs="KaiTi_GB2312" w:hint="eastAsia"/>
          <w:sz w:val="32"/>
          <w:szCs w:val="32"/>
        </w:rPr>
        <w:t>。</w:t>
      </w:r>
    </w:p>
    <w:p w14:paraId="6BCD2435"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构建现代化批发业产业集群，推动海南离岸贸易、大宗商品贸易、中间品贸易、绿色贸易以及跨境电商提质扩量。“十五五”期间，批发业年均增速达到8%。</w:t>
      </w:r>
    </w:p>
    <w:p w14:paraId="37F3005D"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95" w:name="_Toc31237"/>
      <w:r>
        <w:rPr>
          <w:rFonts w:ascii="FangSong_GB2312" w:eastAsia="FangSong_GB2312" w:hAnsi="FangSong_GB2312" w:cs="FangSong_GB2312" w:hint="eastAsia"/>
          <w:b/>
          <w:bCs/>
          <w:sz w:val="32"/>
          <w:szCs w:val="32"/>
        </w:rPr>
        <w:t>1.推动批发业特色化发展</w:t>
      </w:r>
      <w:bookmarkEnd w:id="95"/>
      <w:r>
        <w:rPr>
          <w:rFonts w:ascii="FangSong_GB2312" w:eastAsia="FangSong_GB2312" w:hAnsi="FangSong_GB2312" w:cs="FangSong_GB2312" w:hint="eastAsia"/>
          <w:b/>
          <w:bCs/>
          <w:sz w:val="32"/>
          <w:szCs w:val="32"/>
        </w:rPr>
        <w:t>。</w:t>
      </w:r>
    </w:p>
    <w:p w14:paraId="0061B40D"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建立离岸贸易集聚区。</w:t>
      </w:r>
      <w:r>
        <w:rPr>
          <w:rFonts w:ascii="FangSong_GB2312" w:eastAsia="FangSong_GB2312" w:hAnsi="FangSong_GB2312" w:cs="FangSong_GB2312" w:hint="eastAsia"/>
          <w:sz w:val="32"/>
          <w:szCs w:val="32"/>
        </w:rPr>
        <w:t>支持洋浦经济开发区、海口江东新区发展平台型离岸贸易服务和金融服务，提升经常账户项下离岸贸易外汇结算便利度，探索人民币计价的离岸转手买卖业务模式。大力发展贸易经纪代理，建设“一体化贸易＋多币种结算＋国际融资”新生态，吸引大型跨国企业在琼设立区域性结算中心、商品分拨平台。到2030年，引进开展离岸贸易的大型跨国企业50家以上。</w:t>
      </w:r>
    </w:p>
    <w:p w14:paraId="3F44F60B"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开展贸产互促的中间品贸易。</w:t>
      </w:r>
      <w:r>
        <w:rPr>
          <w:rFonts w:ascii="FangSong_GB2312" w:eastAsia="FangSong_GB2312" w:hAnsi="FangSong_GB2312" w:cs="FangSong_GB2312" w:hint="eastAsia"/>
          <w:sz w:val="32"/>
          <w:szCs w:val="32"/>
        </w:rPr>
        <w:t>推动上下游联动，形成面向东盟等地区的中间品集散与加工产业集群。支持从东盟进口农产品初级原料及电子、机械零部件，在洋浦、海口综保区开展高端食品、医疗器械、消费电子产品等高附加值加工服务。鼓励消费电子企业构建“海南研发设计+东盟整机组装”的跨境制造网络。</w:t>
      </w:r>
      <w:r>
        <w:rPr>
          <w:rFonts w:ascii="FangSong_GB2312" w:eastAsia="FangSong_GB2312" w:hAnsi="FangSong_GB2312" w:cs="FangSong_GB2312" w:hint="eastAsia"/>
          <w:sz w:val="32"/>
          <w:szCs w:val="32"/>
        </w:rPr>
        <w:lastRenderedPageBreak/>
        <w:t>在航空发动机、医疗器械领域，建立与国际接轨的再制造标准体系，提升保税维修再制造水平，扩大“海南再制造”高技术产品出口规模。“十五五”期间，每年引育专业化中间品批发龙头企业10家。</w:t>
      </w:r>
    </w:p>
    <w:p w14:paraId="539FDAFD"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打造大宗商品集散中心。</w:t>
      </w:r>
      <w:r>
        <w:rPr>
          <w:rFonts w:ascii="FangSong_GB2312" w:eastAsia="FangSong_GB2312" w:hAnsi="FangSong_GB2312" w:cs="FangSong_GB2312" w:hint="eastAsia"/>
          <w:sz w:val="32"/>
          <w:szCs w:val="32"/>
        </w:rPr>
        <w:t>支持综合批发企业向现代供应链服务商转型，发展集中采购、统仓统配，提供物流、信息等综合服务，形成现代供应链全链条协同。发挥重点市场主体对油气、矿产品、粮食、化工品等大宗商品的集配优势，形成“国际集采+加工增值+国内配送”的模式。加快建设洋浦大宗商品集散交易中心。“十五五”期间，每年引育大型现代供应链服务商3-4家，大型国际贸易公司跨境分销中心和采购中心2家。</w:t>
      </w:r>
    </w:p>
    <w:p w14:paraId="36A0FFB7"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96" w:name="_Toc13292"/>
      <w:r>
        <w:rPr>
          <w:rFonts w:ascii="FangSong_GB2312" w:eastAsia="FangSong_GB2312" w:hAnsi="FangSong_GB2312" w:cs="FangSong_GB2312" w:hint="eastAsia"/>
          <w:b/>
          <w:bCs/>
          <w:sz w:val="32"/>
          <w:szCs w:val="32"/>
        </w:rPr>
        <w:t>2.提升批发业数字化、绿色化水平</w:t>
      </w:r>
      <w:bookmarkEnd w:id="96"/>
      <w:r>
        <w:rPr>
          <w:rFonts w:ascii="FangSong_GB2312" w:eastAsia="FangSong_GB2312" w:hAnsi="FangSong_GB2312" w:cs="FangSong_GB2312" w:hint="eastAsia"/>
          <w:b/>
          <w:bCs/>
          <w:sz w:val="32"/>
          <w:szCs w:val="32"/>
        </w:rPr>
        <w:t>。</w:t>
      </w:r>
    </w:p>
    <w:p w14:paraId="597EE738"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加快批发业数字化转型，创新发展跨境电商。</w:t>
      </w:r>
      <w:r>
        <w:rPr>
          <w:rFonts w:ascii="FangSong_GB2312" w:eastAsia="FangSong_GB2312" w:hAnsi="FangSong_GB2312" w:cs="FangSong_GB2312" w:hint="eastAsia"/>
          <w:sz w:val="32"/>
          <w:szCs w:val="32"/>
        </w:rPr>
        <w:t>发挥全岛跨境电子商务综合试验区效能，支持建设服务于重点产业的B2B（企业间）垂直电商平台，形成“全国出口、海南中转、海南售后”模式。支持在海口综合保税区、三亚中央商务区、澄迈老城科技新城等重点园区布局跨境电商直播基地，规划建设智慧仓储配送中心和选品中心，开展“保税仓+直播+新零售”业态创新。每年吸引国内外大型跨境电商企业1-2家，国内大型跨境电商企业进口商品批发部、保税批发运营中心3-4家。“十五五”期间跨境电子商务进出口规模年均增长20%。</w:t>
      </w:r>
    </w:p>
    <w:p w14:paraId="74794414"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提升批发业绿色化发展，激活绿色贸易。</w:t>
      </w:r>
      <w:r>
        <w:rPr>
          <w:rFonts w:ascii="FangSong_GB2312" w:eastAsia="FangSong_GB2312" w:hAnsi="FangSong_GB2312" w:cs="FangSong_GB2312" w:hint="eastAsia"/>
          <w:sz w:val="32"/>
          <w:szCs w:val="32"/>
        </w:rPr>
        <w:t>提升外贸企业绿色</w:t>
      </w:r>
      <w:r>
        <w:rPr>
          <w:rFonts w:ascii="FangSong_GB2312" w:eastAsia="FangSong_GB2312" w:hAnsi="FangSong_GB2312" w:cs="FangSong_GB2312" w:hint="eastAsia"/>
          <w:sz w:val="32"/>
          <w:szCs w:val="32"/>
        </w:rPr>
        <w:lastRenderedPageBreak/>
        <w:t>低碳发展能力，在全行业大力推广标准化物流载具循环共用和绿色环保包装，降低成本和环境负荷。建设绿色贸易公共服务平台，推动企业开展绿色设计和生产，服务新型储能体系建设，促进清洁能源、能源装备、动力电池等绿色产品出口。</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5608264C" w14:textId="77777777">
        <w:tc>
          <w:tcPr>
            <w:tcW w:w="5000" w:type="pct"/>
          </w:tcPr>
          <w:p w14:paraId="6B35B351" w14:textId="77777777" w:rsidR="00000000" w:rsidRDefault="00000000">
            <w:pPr>
              <w:spacing w:line="62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专栏5  推动批发业转型发展</w:t>
            </w:r>
          </w:p>
          <w:p w14:paraId="062D149A" w14:textId="77777777" w:rsidR="00000000" w:rsidRDefault="00000000">
            <w:pPr>
              <w:spacing w:line="62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1.加快平台化项目建设。推进西部陆海新通道洋浦国际集采中心（一期）、海南国际咖啡专业化交易市场、中阿椰枣友谊系列合作等项目建设。</w:t>
            </w:r>
          </w:p>
          <w:p w14:paraId="0A7C1A43" w14:textId="77777777" w:rsidR="00000000" w:rsidRDefault="00000000">
            <w:pPr>
              <w:spacing w:line="62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2.促进绿色贸易发展。推进海南自贸港绿色低碳国际合作示范项目（一期）、琼海市绿色低碳综合发展项目、绿色环保矿产资源综合开发利用项目、生物质可降解新材料共性技术平台项目建设。</w:t>
            </w:r>
          </w:p>
        </w:tc>
      </w:tr>
    </w:tbl>
    <w:p w14:paraId="11B22706" w14:textId="77777777" w:rsidR="00000000" w:rsidRDefault="00000000">
      <w:pPr>
        <w:spacing w:line="620" w:lineRule="exact"/>
        <w:ind w:firstLineChars="200" w:firstLine="640"/>
        <w:outlineLvl w:val="1"/>
        <w:rPr>
          <w:rFonts w:eastAsia="KaiTi_GB2312" w:cs="KaiTi_GB2312" w:hint="eastAsia"/>
          <w:sz w:val="32"/>
          <w:szCs w:val="32"/>
        </w:rPr>
      </w:pPr>
      <w:bookmarkStart w:id="97" w:name="_Toc32063"/>
      <w:bookmarkStart w:id="98" w:name="_Toc17268"/>
      <w:bookmarkStart w:id="99" w:name="_Toc25326"/>
      <w:r>
        <w:rPr>
          <w:rFonts w:eastAsia="KaiTi_GB2312" w:cs="KaiTi_GB2312" w:hint="eastAsia"/>
          <w:sz w:val="32"/>
          <w:szCs w:val="32"/>
        </w:rPr>
        <w:t>（五）</w:t>
      </w:r>
      <w:bookmarkEnd w:id="98"/>
      <w:r>
        <w:rPr>
          <w:rFonts w:eastAsia="KaiTi_GB2312" w:cs="KaiTi_GB2312" w:hint="eastAsia"/>
          <w:sz w:val="32"/>
          <w:szCs w:val="32"/>
        </w:rPr>
        <w:t>提升科技服务水平，强化科技支撑作用</w:t>
      </w:r>
      <w:bookmarkEnd w:id="99"/>
      <w:r>
        <w:rPr>
          <w:rFonts w:eastAsia="KaiTi_GB2312" w:cs="KaiTi_GB2312" w:hint="eastAsia"/>
          <w:sz w:val="32"/>
          <w:szCs w:val="32"/>
        </w:rPr>
        <w:t>。</w:t>
      </w:r>
    </w:p>
    <w:p w14:paraId="7A8FDCDB" w14:textId="77777777" w:rsidR="00000000" w:rsidRDefault="00000000">
      <w:pPr>
        <w:spacing w:line="62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以建设国家重大战略服务保障区为核心，围绕研发设计专业化、高端化，以关键核心技术攻关为牵引，建设技术创新之岛。强化高能级科创平台建设，促进科技服务和成果转化，打造种业、深海、航天、油气等优势特色领域创新策源地。</w:t>
      </w:r>
    </w:p>
    <w:p w14:paraId="7C18A8ED"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00" w:name="_Toc5367"/>
      <w:bookmarkStart w:id="101" w:name="_Toc12031"/>
      <w:r>
        <w:rPr>
          <w:rFonts w:ascii="FangSong_GB2312" w:eastAsia="FangSong_GB2312" w:hAnsi="FangSong_GB2312" w:cs="FangSong_GB2312" w:hint="eastAsia"/>
          <w:b/>
          <w:bCs/>
          <w:sz w:val="32"/>
          <w:szCs w:val="32"/>
        </w:rPr>
        <w:t>1.提升关键技术服务，强化科技赋能特色产业能效</w:t>
      </w:r>
      <w:bookmarkEnd w:id="100"/>
      <w:bookmarkEnd w:id="101"/>
      <w:r>
        <w:rPr>
          <w:rFonts w:ascii="FangSong_GB2312" w:eastAsia="FangSong_GB2312" w:hAnsi="FangSong_GB2312" w:cs="FangSong_GB2312" w:hint="eastAsia"/>
          <w:b/>
          <w:bCs/>
          <w:sz w:val="32"/>
          <w:szCs w:val="32"/>
        </w:rPr>
        <w:t>。</w:t>
      </w:r>
    </w:p>
    <w:p w14:paraId="5915978A" w14:textId="77777777" w:rsidR="00000000" w:rsidRDefault="00000000">
      <w:pPr>
        <w:spacing w:line="600" w:lineRule="exact"/>
        <w:ind w:firstLineChars="200" w:firstLine="640"/>
        <w:rPr>
          <w:rFonts w:ascii="FangSong_GB2312" w:eastAsia="FangSong_GB2312" w:hAnsi="FangSong_GB2312" w:cs="FangSong_GB2312" w:hint="eastAsia"/>
          <w:b/>
          <w:bCs/>
          <w:sz w:val="32"/>
          <w:szCs w:val="32"/>
        </w:rPr>
      </w:pPr>
      <w:r>
        <w:rPr>
          <w:rFonts w:ascii="FangSong_GB2312" w:eastAsia="FangSong_GB2312" w:hAnsi="FangSong_GB2312" w:cs="FangSong_GB2312" w:hint="eastAsia"/>
          <w:sz w:val="32"/>
          <w:szCs w:val="32"/>
        </w:rPr>
        <w:t>以崖州湾科技城为核心，布局基因测序、分子检测、品种测试等16类专业服务平台，打造“一站式”研发外包、检验检测、成果转化服务体系。推动水下机器人、深海传感器、海上作业平</w:t>
      </w:r>
      <w:r>
        <w:rPr>
          <w:rFonts w:ascii="FangSong_GB2312" w:eastAsia="FangSong_GB2312" w:hAnsi="FangSong_GB2312" w:cs="FangSong_GB2312" w:hint="eastAsia"/>
          <w:sz w:val="32"/>
          <w:szCs w:val="32"/>
        </w:rPr>
        <w:lastRenderedPageBreak/>
        <w:t>台等技术的产业化进程，打造国家海洋装备制造业创新中心。建设文昌国际航天城科技创新公共平台、国际星箭协同研发中心、国际卫星先进制造中心，支持绿色推进剂、火箭发射与回收、低轨通信卫星星座一体化等关键技术的应用转化，完善“发射+服务+制造+应用”一体化商用航天产业体系。建设海口“药谷”生物医药合同研发、合同生产服务平台，构建覆盖新药研发全链条的科技服务体系。</w:t>
      </w:r>
    </w:p>
    <w:p w14:paraId="2C636452"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02" w:name="_Toc10508"/>
      <w:bookmarkStart w:id="103" w:name="_Toc29593"/>
      <w:r>
        <w:rPr>
          <w:rFonts w:ascii="FangSong_GB2312" w:eastAsia="FangSong_GB2312" w:hAnsi="FangSong_GB2312" w:cs="FangSong_GB2312" w:hint="eastAsia"/>
          <w:b/>
          <w:bCs/>
          <w:sz w:val="32"/>
          <w:szCs w:val="32"/>
        </w:rPr>
        <w:t>2.发挥高能级科创平台牵引作用，促进科技成果落地转化</w:t>
      </w:r>
      <w:bookmarkEnd w:id="102"/>
      <w:bookmarkEnd w:id="103"/>
      <w:r>
        <w:rPr>
          <w:rFonts w:ascii="FangSong_GB2312" w:eastAsia="FangSong_GB2312" w:hAnsi="FangSong_GB2312" w:cs="FangSong_GB2312" w:hint="eastAsia"/>
          <w:b/>
          <w:bCs/>
          <w:sz w:val="32"/>
          <w:szCs w:val="32"/>
        </w:rPr>
        <w:t>。</w:t>
      </w:r>
    </w:p>
    <w:p w14:paraId="7C0C79CC" w14:textId="77777777" w:rsidR="00000000" w:rsidRDefault="00000000">
      <w:pPr>
        <w:spacing w:line="600" w:lineRule="exact"/>
        <w:ind w:firstLineChars="200" w:firstLine="640"/>
        <w:rPr>
          <w:rFonts w:ascii="FangSong_GB2312" w:eastAsia="FangSong_GB2312" w:hAnsi="FangSong_GB2312" w:cs="FangSong_GB2312" w:hint="eastAsia"/>
          <w:b/>
          <w:bCs/>
          <w:sz w:val="32"/>
          <w:szCs w:val="32"/>
        </w:rPr>
      </w:pPr>
      <w:r>
        <w:rPr>
          <w:rFonts w:ascii="FangSong_GB2312" w:eastAsia="FangSong_GB2312" w:hAnsi="FangSong_GB2312" w:cs="FangSong_GB2312" w:hint="eastAsia"/>
          <w:sz w:val="32"/>
          <w:szCs w:val="32"/>
        </w:rPr>
        <w:t>围绕生物制造、氢能、脑机接口、具身智能等“四新”未来产业，提质科技企业孵化器，建设技术创新中心、概念验证中心、中试研究基地、质量检验检测中心、高校区域技术转移转化中心等创新平台，加速技术成果转化与产业化应用，到2030年，新增各类技术转化应用平台不少于10个。大力发展地质勘查服务、工业设计服务、油气能源勘探服务等专业服务平台，“十五五”期间，每年新增专业服务平台不少于3个。充分发挥国家技术转移海南中心和海南国际知识产权交易所作用，支持建设重点产业专利池，系统提升知识产权服务水平，提升涉外知识产权风险应对能力，做强版权运营服务。构建权责清晰、有效激励的职务科技成果赋权改革制度体系，完善科技成果所有权分配和收益分配机制。</w:t>
      </w:r>
    </w:p>
    <w:p w14:paraId="05A9896A"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04" w:name="_Toc512"/>
      <w:bookmarkStart w:id="105" w:name="_Toc17358"/>
      <w:r>
        <w:rPr>
          <w:rFonts w:ascii="FangSong_GB2312" w:eastAsia="FangSong_GB2312" w:hAnsi="FangSong_GB2312" w:cs="FangSong_GB2312" w:hint="eastAsia"/>
          <w:b/>
          <w:bCs/>
          <w:sz w:val="32"/>
          <w:szCs w:val="32"/>
        </w:rPr>
        <w:t>3.拓展高水平国际科技合作，</w:t>
      </w:r>
      <w:bookmarkEnd w:id="104"/>
      <w:r>
        <w:rPr>
          <w:rFonts w:ascii="FangSong_GB2312" w:eastAsia="FangSong_GB2312" w:hAnsi="FangSong_GB2312" w:cs="FangSong_GB2312" w:hint="eastAsia"/>
          <w:b/>
          <w:bCs/>
          <w:sz w:val="32"/>
          <w:szCs w:val="32"/>
        </w:rPr>
        <w:t>构建开放创新的产业生态</w:t>
      </w:r>
      <w:bookmarkEnd w:id="105"/>
      <w:r>
        <w:rPr>
          <w:rFonts w:ascii="FangSong_GB2312" w:eastAsia="FangSong_GB2312" w:hAnsi="FangSong_GB2312" w:cs="FangSong_GB2312" w:hint="eastAsia"/>
          <w:b/>
          <w:bCs/>
          <w:sz w:val="32"/>
          <w:szCs w:val="32"/>
        </w:rPr>
        <w:t>。</w:t>
      </w:r>
    </w:p>
    <w:p w14:paraId="54095630"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完善科研要素跨境流动机制，简化科研设备、样品进出口流</w:t>
      </w:r>
      <w:r>
        <w:rPr>
          <w:rFonts w:ascii="FangSong_GB2312" w:eastAsia="FangSong_GB2312" w:hAnsi="FangSong_GB2312" w:cs="FangSong_GB2312" w:hint="eastAsia"/>
          <w:sz w:val="32"/>
          <w:szCs w:val="32"/>
        </w:rPr>
        <w:lastRenderedPageBreak/>
        <w:t>程，推进科研数据跨境互联互通，吸引国际科技公司落地。依托省内重点园区，面向新兴产业和未来产业布局建设孵化器，支持“一带一路”共建国家在海南设立离岸孵化器、联合实验室和众创空间。“十五五”期间，每年引进2家以上国际科技企业总部或研发部门。</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428D864A" w14:textId="77777777">
        <w:tc>
          <w:tcPr>
            <w:tcW w:w="5000" w:type="pct"/>
          </w:tcPr>
          <w:p w14:paraId="053C4F80" w14:textId="77777777" w:rsidR="00000000" w:rsidRDefault="00000000">
            <w:pPr>
              <w:spacing w:line="590" w:lineRule="exact"/>
              <w:jc w:val="center"/>
              <w:rPr>
                <w:rFonts w:ascii="FangSong_GB2312" w:eastAsia="FangSong_GB2312" w:hAnsi="FangSong_GB2312" w:cs="FangSong_GB2312" w:hint="eastAsia"/>
                <w:b/>
                <w:bCs/>
                <w:kern w:val="0"/>
                <w:sz w:val="32"/>
                <w:szCs w:val="32"/>
              </w:rPr>
            </w:pPr>
            <w:r>
              <w:rPr>
                <w:rFonts w:ascii="FangSong_GB2312" w:eastAsia="FangSong_GB2312" w:hAnsi="FangSong_GB2312" w:cs="FangSong_GB2312" w:hint="eastAsia"/>
                <w:b/>
                <w:bCs/>
                <w:kern w:val="0"/>
                <w:sz w:val="32"/>
                <w:szCs w:val="32"/>
              </w:rPr>
              <w:t>专栏6  强化科技创新服务能力</w:t>
            </w:r>
          </w:p>
          <w:p w14:paraId="75C28FBA" w14:textId="77777777" w:rsidR="00000000" w:rsidRDefault="00000000">
            <w:pPr>
              <w:spacing w:line="59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1.发展商业航天技术服务。依托国际卫星数据交易服务平台、商业航天发射场智慧发射服务系统（二期）、低轨卫星第三方智能化检测服务中心、遥感测绘应用服务能力提升项目，推动商业航天从硬件制造向高附加值运营服务延伸，提升海南在国际航天与测控保障领域的服务能级。</w:t>
            </w:r>
          </w:p>
          <w:p w14:paraId="4410D58C" w14:textId="77777777" w:rsidR="00000000" w:rsidRDefault="00000000">
            <w:pPr>
              <w:spacing w:line="59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2.推动海洋立体观测。依托三亚崖州湾科技城海洋科学观测网及岸基保障基地项目，建设海洋立体观测网络，为深海科研、海洋环境监测、蓝色碳汇等提供基础数据支撑与信息服务，加快培育海洋经济领域的生产性服务业。</w:t>
            </w:r>
          </w:p>
          <w:p w14:paraId="54DD22D1" w14:textId="77777777" w:rsidR="00000000" w:rsidRDefault="00000000">
            <w:pPr>
              <w:spacing w:line="59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3.完善种业服务。依托南繁合同研究组织（CRO）服务推广项目，引入合同研发外包模式，推动南繁育种从科研自研向社会化、专业化服务转型，为种业企业提供测试、繁育、检测等全流程外包服务。</w:t>
            </w:r>
          </w:p>
        </w:tc>
      </w:tr>
    </w:tbl>
    <w:p w14:paraId="4A65A0F8" w14:textId="77777777" w:rsidR="00000000" w:rsidRDefault="00000000">
      <w:pPr>
        <w:spacing w:line="600" w:lineRule="exact"/>
        <w:ind w:firstLineChars="200" w:firstLine="640"/>
        <w:outlineLvl w:val="1"/>
        <w:rPr>
          <w:rFonts w:eastAsia="KaiTi_GB2312" w:cs="KaiTi_GB2312" w:hint="eastAsia"/>
          <w:sz w:val="32"/>
          <w:szCs w:val="32"/>
        </w:rPr>
      </w:pPr>
      <w:bookmarkStart w:id="106" w:name="_Toc7697"/>
      <w:bookmarkStart w:id="107" w:name="_Toc455"/>
      <w:r>
        <w:rPr>
          <w:rFonts w:eastAsia="KaiTi_GB2312" w:cs="KaiTi_GB2312" w:hint="eastAsia"/>
          <w:sz w:val="32"/>
          <w:szCs w:val="32"/>
        </w:rPr>
        <w:t>（六）</w:t>
      </w:r>
      <w:bookmarkEnd w:id="106"/>
      <w:r>
        <w:rPr>
          <w:rFonts w:eastAsia="KaiTi_GB2312" w:cs="KaiTi_GB2312" w:hint="eastAsia"/>
          <w:sz w:val="32"/>
          <w:szCs w:val="32"/>
        </w:rPr>
        <w:t>提升高端商务服务能级，促进国际化专业服务集聚</w:t>
      </w:r>
      <w:bookmarkEnd w:id="107"/>
      <w:r>
        <w:rPr>
          <w:rFonts w:eastAsia="KaiTi_GB2312" w:cs="KaiTi_GB2312" w:hint="eastAsia"/>
          <w:sz w:val="32"/>
          <w:szCs w:val="32"/>
        </w:rPr>
        <w:t>。</w:t>
      </w:r>
    </w:p>
    <w:p w14:paraId="37DD2D00"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08" w:name="_Toc29495"/>
      <w:bookmarkStart w:id="109" w:name="_Toc32722"/>
      <w:r>
        <w:rPr>
          <w:rFonts w:ascii="FangSong_GB2312" w:eastAsia="FangSong_GB2312" w:hAnsi="FangSong_GB2312" w:cs="FangSong_GB2312" w:hint="eastAsia"/>
          <w:b/>
          <w:bCs/>
          <w:sz w:val="32"/>
          <w:szCs w:val="32"/>
        </w:rPr>
        <w:t>1.打造海南国际会展名片</w:t>
      </w:r>
      <w:bookmarkEnd w:id="108"/>
      <w:bookmarkEnd w:id="109"/>
      <w:r>
        <w:rPr>
          <w:rFonts w:ascii="FangSong_GB2312" w:eastAsia="FangSong_GB2312" w:hAnsi="FangSong_GB2312" w:cs="FangSong_GB2312" w:hint="eastAsia"/>
          <w:b/>
          <w:bCs/>
          <w:sz w:val="32"/>
          <w:szCs w:val="32"/>
        </w:rPr>
        <w:t>。</w:t>
      </w:r>
    </w:p>
    <w:p w14:paraId="3B1429D9"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bookmarkStart w:id="110" w:name="_Toc1804"/>
      <w:r>
        <w:rPr>
          <w:rFonts w:ascii="FangSong_GB2312" w:eastAsia="FangSong_GB2312" w:hAnsi="FangSong_GB2312" w:cs="FangSong_GB2312" w:hint="eastAsia"/>
          <w:sz w:val="32"/>
          <w:szCs w:val="32"/>
        </w:rPr>
        <w:t>提升国际会展影响力，构建多点联动、线上线下融合的会展</w:t>
      </w:r>
      <w:r>
        <w:rPr>
          <w:rFonts w:ascii="FangSong_GB2312" w:eastAsia="FangSong_GB2312" w:hAnsi="FangSong_GB2312" w:cs="FangSong_GB2312" w:hint="eastAsia"/>
          <w:sz w:val="32"/>
          <w:szCs w:val="32"/>
        </w:rPr>
        <w:lastRenderedPageBreak/>
        <w:t>体系，积极引进国际性会议、展览，打造面向东南亚的会展服务高地。到2030年，会展业综合收入达到500亿元。培育特色主题展会，持续办好消博会、冬交会、沉香花梨交易会等品牌展会，策划、承接一批消费类会展活动，重点引进人工智能、跨境电商、海洋产业、游艇、珠宝、康养等专业展览，打造汇集高端发布、首发首秀、产品展示、采购交易的多功能平台。加强与国内外知名的会展组织者（PCO）和服务商（DMC）合作，重点培育引进国际贸易、科学技术，以及服务海南重点产业发展的高端专业会议。到2030年，培育海南自由贸易港十大品牌展览、十大品牌会议，累计举办千人以上规模会议超过200场。</w:t>
      </w:r>
    </w:p>
    <w:p w14:paraId="0F96434D"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11" w:name="_Toc21862"/>
      <w:r>
        <w:rPr>
          <w:rFonts w:ascii="FangSong_GB2312" w:eastAsia="FangSong_GB2312" w:hAnsi="FangSong_GB2312" w:cs="FangSong_GB2312" w:hint="eastAsia"/>
          <w:b/>
          <w:bCs/>
          <w:sz w:val="32"/>
          <w:szCs w:val="32"/>
        </w:rPr>
        <w:t>2.创新数字广告发展</w:t>
      </w:r>
      <w:bookmarkEnd w:id="110"/>
      <w:bookmarkEnd w:id="111"/>
      <w:r>
        <w:rPr>
          <w:rFonts w:ascii="FangSong_GB2312" w:eastAsia="FangSong_GB2312" w:hAnsi="FangSong_GB2312" w:cs="FangSong_GB2312" w:hint="eastAsia"/>
          <w:b/>
          <w:bCs/>
          <w:sz w:val="32"/>
          <w:szCs w:val="32"/>
        </w:rPr>
        <w:t>。</w:t>
      </w:r>
    </w:p>
    <w:p w14:paraId="12A08FCE"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用好免征文化事业建设费等政策，依托海口复兴城、三亚中央商务区、澄迈老城科技新城等园区的广告业基础，打造集创意设计、技术研发、广告制作、广告投放、效果监测等功能于一体的数字广告产业集群。“十五五”期间，每年引育大型数字广告企业4-5家，数字广告龙头企业的广告创意中心、专属广告事业部、游戏出海广告投放中心等1-2家。到2030年，打造1-2个数字广告产业集聚区。</w:t>
      </w:r>
    </w:p>
    <w:p w14:paraId="34B99978"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12" w:name="_Toc16086"/>
      <w:r>
        <w:rPr>
          <w:rFonts w:ascii="FangSong_GB2312" w:eastAsia="FangSong_GB2312" w:hAnsi="FangSong_GB2312" w:cs="FangSong_GB2312" w:hint="eastAsia"/>
          <w:b/>
          <w:bCs/>
          <w:sz w:val="32"/>
          <w:szCs w:val="32"/>
        </w:rPr>
        <w:t>3.促进国际化专业服务集聚</w:t>
      </w:r>
      <w:bookmarkEnd w:id="112"/>
      <w:r>
        <w:rPr>
          <w:rFonts w:ascii="FangSong_GB2312" w:eastAsia="FangSong_GB2312" w:hAnsi="FangSong_GB2312" w:cs="FangSong_GB2312" w:hint="eastAsia"/>
          <w:b/>
          <w:bCs/>
          <w:sz w:val="32"/>
          <w:szCs w:val="32"/>
        </w:rPr>
        <w:t>。</w:t>
      </w:r>
    </w:p>
    <w:p w14:paraId="4F415CF2"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在江东新区、三亚中央商务区等园区，建设面向国际市场的专业服务集聚区，重点引进财务、法律、咨询、税务等领域国际一流机构，支持境外知名仲裁和调解机构依法在琼设立业务机</w:t>
      </w:r>
      <w:r>
        <w:rPr>
          <w:rFonts w:ascii="FangSong_GB2312" w:eastAsia="FangSong_GB2312" w:hAnsi="FangSong_GB2312" w:cs="FangSong_GB2312" w:hint="eastAsia"/>
          <w:sz w:val="32"/>
          <w:szCs w:val="32"/>
        </w:rPr>
        <w:lastRenderedPageBreak/>
        <w:t>构，开展涉外争议解决业务，提升专业服务标准化、融合化、国际化发展水平。探索进一步放宽境外人员职业资格考试限制，建立港澳专业人士对接机制，深入开展“一带一路”人力资源服务行动，鼓励本土与外资机构依法开展联合执业、项目合作、人员</w:t>
      </w:r>
      <w:r>
        <w:rPr>
          <w:rFonts w:ascii="FangSong_GB2312" w:eastAsia="FangSong_GB2312" w:hAnsi="FangSong_GB2312" w:cs="FangSong_GB2312" w:hint="eastAsia"/>
          <w:spacing w:val="6"/>
          <w:sz w:val="32"/>
          <w:szCs w:val="32"/>
        </w:rPr>
        <w:t>交流。加快落地检验检测研究院及香港检测机构。</w:t>
      </w:r>
    </w:p>
    <w:p w14:paraId="19978D47" w14:textId="77777777" w:rsidR="00000000" w:rsidRDefault="00000000">
      <w:pPr>
        <w:spacing w:line="600" w:lineRule="exact"/>
        <w:ind w:firstLineChars="200" w:firstLine="640"/>
        <w:outlineLvl w:val="0"/>
        <w:rPr>
          <w:rFonts w:eastAsia="SimHei" w:cs="SimHei" w:hint="eastAsia"/>
          <w:sz w:val="32"/>
          <w:szCs w:val="32"/>
        </w:rPr>
      </w:pPr>
      <w:bookmarkStart w:id="113" w:name="_Toc13614"/>
      <w:r>
        <w:rPr>
          <w:rFonts w:eastAsia="SimHei" w:cs="SimHei" w:hint="eastAsia"/>
          <w:sz w:val="32"/>
          <w:szCs w:val="32"/>
        </w:rPr>
        <w:t>三、</w:t>
      </w:r>
      <w:bookmarkEnd w:id="97"/>
      <w:r>
        <w:rPr>
          <w:rFonts w:eastAsia="SimHei" w:cs="SimHei" w:hint="eastAsia"/>
          <w:sz w:val="32"/>
          <w:szCs w:val="32"/>
        </w:rPr>
        <w:t>促进生活性服务业高品质多样化便利化发展</w:t>
      </w:r>
      <w:bookmarkEnd w:id="113"/>
    </w:p>
    <w:p w14:paraId="66139CB4" w14:textId="77777777" w:rsidR="00000000" w:rsidRDefault="00000000">
      <w:pPr>
        <w:spacing w:line="600" w:lineRule="exact"/>
        <w:ind w:firstLineChars="200" w:firstLine="640"/>
        <w:rPr>
          <w:rFonts w:eastAsia="FangSong_GB2312" w:cs="FangSong_GB2312" w:hint="eastAsia"/>
          <w:sz w:val="32"/>
          <w:szCs w:val="32"/>
        </w:rPr>
      </w:pPr>
      <w:r>
        <w:rPr>
          <w:rFonts w:eastAsia="FangSong_GB2312" w:cs="FangSong_GB2312" w:hint="eastAsia"/>
          <w:sz w:val="32"/>
          <w:szCs w:val="32"/>
        </w:rPr>
        <w:t>立足全岛封关运作后的开放新优势，促进生活性服务业高品质、多样化、便利化发展，打造服务消费升级“海南样板”，建设高水平国际健康岛、国际教育创新岛和宜居宜业的高品质生活社区，依托海南独特生态与宜居禀赋，吸引新经济新业态群体来琼生活工作。</w:t>
      </w:r>
    </w:p>
    <w:p w14:paraId="196FA346" w14:textId="77777777" w:rsidR="00000000" w:rsidRDefault="00000000">
      <w:pPr>
        <w:spacing w:line="600" w:lineRule="exact"/>
        <w:ind w:firstLineChars="200" w:firstLine="640"/>
        <w:outlineLvl w:val="1"/>
        <w:rPr>
          <w:rFonts w:eastAsia="KaiTi_GB2312" w:cs="KaiTi_GB2312" w:hint="eastAsia"/>
          <w:sz w:val="32"/>
          <w:szCs w:val="32"/>
        </w:rPr>
      </w:pPr>
      <w:bookmarkStart w:id="114" w:name="_Toc10392"/>
      <w:bookmarkStart w:id="115" w:name="_Toc26271"/>
      <w:r>
        <w:rPr>
          <w:rFonts w:eastAsia="KaiTi_GB2312" w:cs="KaiTi_GB2312" w:hint="eastAsia"/>
          <w:sz w:val="32"/>
          <w:szCs w:val="32"/>
        </w:rPr>
        <w:t>（一）构建零售业新模式，引领消费新需求</w:t>
      </w:r>
      <w:bookmarkEnd w:id="114"/>
      <w:bookmarkEnd w:id="115"/>
      <w:r>
        <w:rPr>
          <w:rFonts w:eastAsia="KaiTi_GB2312" w:cs="KaiTi_GB2312" w:hint="eastAsia"/>
          <w:sz w:val="32"/>
          <w:szCs w:val="32"/>
        </w:rPr>
        <w:t>。</w:t>
      </w:r>
    </w:p>
    <w:p w14:paraId="6AD76DE6"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围绕国际旅游消费中心建设，以免税业态为核心引擎，夯实传统消费。建设热带海岛特色旅游消费目的地，拓展零售新场景、新业态、新模式，吸引高端消费。“十五五”期间，零售业增加值年均增速达到8%。</w:t>
      </w:r>
    </w:p>
    <w:p w14:paraId="659FF69B" w14:textId="77777777" w:rsidR="00000000" w:rsidRDefault="00000000">
      <w:pPr>
        <w:spacing w:line="600" w:lineRule="exact"/>
        <w:ind w:firstLineChars="200" w:firstLine="640"/>
        <w:outlineLvl w:val="2"/>
        <w:rPr>
          <w:rFonts w:ascii="FangSong_GB2312" w:eastAsia="FangSong_GB2312" w:hAnsi="FangSong_GB2312" w:cs="FangSong_GB2312" w:hint="eastAsia"/>
          <w:b/>
          <w:bCs/>
          <w:sz w:val="32"/>
          <w:szCs w:val="32"/>
        </w:rPr>
      </w:pPr>
      <w:bookmarkStart w:id="116" w:name="_Toc6949"/>
      <w:r>
        <w:rPr>
          <w:rFonts w:ascii="FangSong_GB2312" w:eastAsia="FangSong_GB2312" w:hAnsi="FangSong_GB2312" w:cs="FangSong_GB2312" w:hint="eastAsia"/>
          <w:b/>
          <w:bCs/>
          <w:sz w:val="32"/>
          <w:szCs w:val="32"/>
        </w:rPr>
        <w:t>1.夯实免税消费基础</w:t>
      </w:r>
      <w:bookmarkEnd w:id="116"/>
      <w:r>
        <w:rPr>
          <w:rFonts w:ascii="FangSong_GB2312" w:eastAsia="FangSong_GB2312" w:hAnsi="FangSong_GB2312" w:cs="FangSong_GB2312" w:hint="eastAsia"/>
          <w:b/>
          <w:bCs/>
          <w:sz w:val="32"/>
          <w:szCs w:val="32"/>
        </w:rPr>
        <w:t>。</w:t>
      </w:r>
    </w:p>
    <w:p w14:paraId="44C4816F" w14:textId="77777777" w:rsidR="00000000" w:rsidRDefault="00000000">
      <w:pPr>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岛内居民日用消费品免税店实现各市县全覆盖。支持开设跨</w:t>
      </w:r>
      <w:r>
        <w:rPr>
          <w:rFonts w:ascii="FangSong_GB2312" w:eastAsia="FangSong_GB2312" w:hAnsi="FangSong_GB2312" w:cs="FangSong_GB2312" w:hint="eastAsia"/>
          <w:spacing w:val="6"/>
          <w:sz w:val="32"/>
          <w:szCs w:val="32"/>
        </w:rPr>
        <w:t>境电商线上线下体验店，构建“离岛免税＋岛内居民日消品免税</w:t>
      </w:r>
      <w:r>
        <w:rPr>
          <w:rFonts w:ascii="FangSong_GB2312" w:eastAsia="FangSong_GB2312" w:hAnsi="FangSong_GB2312" w:cs="FangSong_GB2312" w:hint="eastAsia"/>
          <w:sz w:val="32"/>
          <w:szCs w:val="32"/>
        </w:rPr>
        <w:t>＋跨境电商”多层次消费供给。挖掘国潮、海南独家、科技新品等新供给。完善消费争议解决机制，营造安全放心、国际一流的免税购物环境。“十五五”期间，招引高端品牌直营免税运营</w:t>
      </w:r>
      <w:r>
        <w:rPr>
          <w:rFonts w:ascii="FangSong_GB2312" w:eastAsia="FangSong_GB2312" w:hAnsi="FangSong_GB2312" w:cs="FangSong_GB2312" w:hint="eastAsia"/>
          <w:sz w:val="32"/>
          <w:szCs w:val="32"/>
        </w:rPr>
        <w:lastRenderedPageBreak/>
        <w:t>中心5家以上，国际顶级免税集团分销中心1家，国内免税集团国际免税事业部门以及特色商品经营部门等3-4家。</w:t>
      </w:r>
    </w:p>
    <w:p w14:paraId="41A65318" w14:textId="77777777" w:rsidR="00000000" w:rsidRDefault="00000000">
      <w:pPr>
        <w:spacing w:line="620" w:lineRule="exact"/>
        <w:ind w:firstLineChars="200" w:firstLine="640"/>
        <w:outlineLvl w:val="2"/>
        <w:rPr>
          <w:rFonts w:ascii="FangSong_GB2312" w:eastAsia="FangSong_GB2312" w:hAnsi="FangSong_GB2312" w:cs="FangSong_GB2312" w:hint="eastAsia"/>
          <w:b/>
          <w:bCs/>
          <w:sz w:val="32"/>
          <w:szCs w:val="32"/>
        </w:rPr>
      </w:pPr>
      <w:bookmarkStart w:id="117" w:name="_Toc10638"/>
      <w:r>
        <w:rPr>
          <w:rFonts w:ascii="FangSong_GB2312" w:eastAsia="FangSong_GB2312" w:hAnsi="FangSong_GB2312" w:cs="FangSong_GB2312" w:hint="eastAsia"/>
          <w:b/>
          <w:bCs/>
          <w:sz w:val="32"/>
          <w:szCs w:val="32"/>
        </w:rPr>
        <w:t>2.促进服务消费和商品消费融合发展</w:t>
      </w:r>
      <w:bookmarkEnd w:id="117"/>
      <w:r>
        <w:rPr>
          <w:rFonts w:ascii="FangSong_GB2312" w:eastAsia="FangSong_GB2312" w:hAnsi="FangSong_GB2312" w:cs="FangSong_GB2312" w:hint="eastAsia"/>
          <w:b/>
          <w:bCs/>
          <w:sz w:val="32"/>
          <w:szCs w:val="32"/>
        </w:rPr>
        <w:t>。</w:t>
      </w:r>
    </w:p>
    <w:p w14:paraId="24CE9C68" w14:textId="77777777" w:rsidR="00000000" w:rsidRDefault="00000000">
      <w:pPr>
        <w:spacing w:line="620" w:lineRule="exact"/>
        <w:ind w:firstLineChars="200" w:firstLine="640"/>
        <w:rPr>
          <w:rFonts w:ascii="FangSong_GB2312" w:eastAsia="FangSong_GB2312" w:hAnsi="FangSong_GB2312" w:cs="FangSong_GB2312" w:hint="eastAsia"/>
          <w:b/>
          <w:bCs/>
          <w:sz w:val="32"/>
          <w:szCs w:val="32"/>
        </w:rPr>
      </w:pPr>
      <w:r>
        <w:rPr>
          <w:rFonts w:ascii="FangSong_GB2312" w:eastAsia="FangSong_GB2312" w:hAnsi="FangSong_GB2312" w:cs="FangSong_GB2312" w:hint="eastAsia"/>
          <w:sz w:val="32"/>
          <w:szCs w:val="32"/>
        </w:rPr>
        <w:t>创新服务消费和数字消费，打造AR（增强现实）试装、虚拟货架等智慧化沉浸式购物体验，支持动漫、游戏电竞等场景建设。发展“首店、首发、首秀”经济，做强“热带风情+免税购物+文体旅商展”业态融合。提升夜间消费活力，支持建设24小时便利店。“十五五”期间，推出“夜游、夜购、夜娱、夜食”标志性项目10个以上。到2030年，培育形成不少于20个文旅商融合的示范商圈和特色街区</w:t>
      </w:r>
      <w:r>
        <w:rPr>
          <w:rFonts w:ascii="FangSong_GB2312" w:eastAsia="FangSong_GB2312" w:hAnsi="FangSong_GB2312" w:cs="FangSong_GB2312" w:hint="eastAsia"/>
          <w:b/>
          <w:bCs/>
          <w:sz w:val="32"/>
          <w:szCs w:val="32"/>
        </w:rPr>
        <w:t>。</w:t>
      </w:r>
    </w:p>
    <w:p w14:paraId="25530FB5" w14:textId="77777777" w:rsidR="00000000" w:rsidRDefault="00000000">
      <w:pPr>
        <w:spacing w:line="620" w:lineRule="exact"/>
        <w:ind w:firstLineChars="200" w:firstLine="640"/>
        <w:outlineLvl w:val="2"/>
        <w:rPr>
          <w:rFonts w:ascii="FangSong_GB2312" w:eastAsia="FangSong_GB2312" w:hAnsi="FangSong_GB2312" w:cs="FangSong_GB2312" w:hint="eastAsia"/>
          <w:b/>
          <w:bCs/>
          <w:sz w:val="32"/>
          <w:szCs w:val="32"/>
        </w:rPr>
      </w:pPr>
      <w:bookmarkStart w:id="118" w:name="_Toc16528"/>
      <w:r>
        <w:rPr>
          <w:rFonts w:ascii="FangSong_GB2312" w:eastAsia="FangSong_GB2312" w:hAnsi="FangSong_GB2312" w:cs="FangSong_GB2312" w:hint="eastAsia"/>
          <w:b/>
          <w:bCs/>
          <w:sz w:val="32"/>
          <w:szCs w:val="32"/>
        </w:rPr>
        <w:t>3.拓展特色旅游消费</w:t>
      </w:r>
      <w:bookmarkEnd w:id="118"/>
      <w:r>
        <w:rPr>
          <w:rFonts w:ascii="FangSong_GB2312" w:eastAsia="FangSong_GB2312" w:hAnsi="FangSong_GB2312" w:cs="FangSong_GB2312" w:hint="eastAsia"/>
          <w:b/>
          <w:bCs/>
          <w:sz w:val="32"/>
          <w:szCs w:val="32"/>
        </w:rPr>
        <w:t>。</w:t>
      </w:r>
    </w:p>
    <w:p w14:paraId="7E8E68FE" w14:textId="77777777" w:rsidR="00000000" w:rsidRDefault="00000000">
      <w:pPr>
        <w:spacing w:line="62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打造精品旅游线路，提升入境旅游服务能力。拓展文昌航天旅游体验消费，推进三亚海上旅游综合体和深海体验升级，发展海口驻场演艺与文体消费，做强黎锦、琼剧、“三月三”等民俗文化与红色文化品牌。开发琼海、三亚医疗康养旅游线路。形成一批邮轮、低空、自驾、游船、冲浪、潜水、骑行的交旅融合项目。到2030年接待国内外游客1.5亿人次，游客总花费达到3630亿元以上</w:t>
      </w:r>
      <w:bookmarkStart w:id="119" w:name="_Toc31906"/>
      <w:bookmarkEnd w:id="65"/>
      <w:r>
        <w:rPr>
          <w:rFonts w:ascii="FangSong_GB2312" w:eastAsia="FangSong_GB2312" w:hAnsi="FangSong_GB2312" w:cs="FangSong_GB2312" w:hint="eastAsia"/>
          <w:sz w:val="32"/>
          <w:szCs w:val="32"/>
        </w:rPr>
        <w:t>。</w:t>
      </w:r>
    </w:p>
    <w:tbl>
      <w:tblPr>
        <w:tblStyle w:val="TableGrid"/>
        <w:tblW w:w="5000" w:type="pct"/>
        <w:tblInd w:w="108" w:type="dxa"/>
        <w:tblCellMar>
          <w:left w:w="108" w:type="dxa"/>
          <w:right w:w="108" w:type="dxa"/>
        </w:tblCellMar>
        <w:tblLook w:val="0000" w:firstRow="0" w:lastRow="0" w:firstColumn="0" w:lastColumn="0" w:noHBand="0" w:noVBand="0"/>
      </w:tblPr>
      <w:tblGrid>
        <w:gridCol w:w="8834"/>
      </w:tblGrid>
      <w:tr w:rsidR="00000000" w14:paraId="7DB090DC" w14:textId="77777777">
        <w:tc>
          <w:tcPr>
            <w:tcW w:w="5000" w:type="pct"/>
          </w:tcPr>
          <w:p w14:paraId="385EDB19" w14:textId="77777777" w:rsidR="00000000" w:rsidRDefault="00000000">
            <w:pPr>
              <w:spacing w:line="640" w:lineRule="exact"/>
              <w:jc w:val="center"/>
              <w:rPr>
                <w:rFonts w:ascii="FangSong_GB2312" w:eastAsia="FangSong_GB2312" w:hAnsi="FangSong_GB2312" w:cs="FangSong_GB2312" w:hint="eastAsia"/>
                <w:b/>
                <w:bCs/>
                <w:kern w:val="0"/>
                <w:sz w:val="32"/>
                <w:szCs w:val="32"/>
              </w:rPr>
            </w:pPr>
            <w:bookmarkStart w:id="120" w:name="_Toc27316"/>
            <w:bookmarkStart w:id="121" w:name="_Toc8772"/>
            <w:bookmarkStart w:id="122" w:name="_Toc12580"/>
            <w:bookmarkStart w:id="123" w:name="_Toc9072"/>
            <w:bookmarkStart w:id="124" w:name="_Toc25616"/>
            <w:bookmarkStart w:id="125" w:name="_Toc19552"/>
            <w:bookmarkStart w:id="126" w:name="_Toc31073"/>
            <w:bookmarkStart w:id="127" w:name="_Toc15446"/>
            <w:bookmarkStart w:id="128" w:name="_Toc13013"/>
            <w:bookmarkEnd w:id="119"/>
            <w:r>
              <w:rPr>
                <w:rFonts w:ascii="FangSong_GB2312" w:eastAsia="FangSong_GB2312" w:hAnsi="FangSong_GB2312" w:cs="FangSong_GB2312" w:hint="eastAsia"/>
                <w:b/>
                <w:bCs/>
                <w:kern w:val="0"/>
                <w:sz w:val="32"/>
                <w:szCs w:val="32"/>
              </w:rPr>
              <w:t>专栏7  提升零售服务能级</w:t>
            </w:r>
          </w:p>
          <w:p w14:paraId="2A082D9E" w14:textId="77777777" w:rsidR="00000000" w:rsidRDefault="00000000">
            <w:pPr>
              <w:spacing w:line="64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1.促进高端消费与文娱体验，依托海口国际免税城、三亚海棠湾免税城等项目，打造免税消费地标。重点推进全球消费精品</w:t>
            </w:r>
            <w:r>
              <w:rPr>
                <w:rFonts w:ascii="FangSong_GB2312" w:eastAsia="FangSong_GB2312" w:hAnsi="FangSong_GB2312" w:cs="FangSong_GB2312" w:hint="eastAsia"/>
                <w:kern w:val="0"/>
                <w:sz w:val="32"/>
                <w:szCs w:val="32"/>
              </w:rPr>
              <w:lastRenderedPageBreak/>
              <w:t>中心、三亚兰桂坊国际文娱街区、三亚海棠故事、三亚首位（SHOWAY）项目、中免太古里项目。聚焦免税购物与沉浸式文娱，打造高端消费地标，丰富夜间经济与文化旅游体验。</w:t>
            </w:r>
          </w:p>
          <w:p w14:paraId="16CAD095" w14:textId="77777777" w:rsidR="00000000" w:rsidRDefault="00000000">
            <w:pPr>
              <w:spacing w:line="64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kern w:val="0"/>
                <w:sz w:val="32"/>
                <w:szCs w:val="32"/>
              </w:rPr>
              <w:t>2.打造特色旅游与海洋休闲新模式，建设澳门星竞威武三亚蔚蓝动力运动休闲度假区、海上旅游综合服务平台、揽月湖火箭观礼综合体项目。</w:t>
            </w:r>
          </w:p>
        </w:tc>
      </w:tr>
    </w:tbl>
    <w:p w14:paraId="79B2329E" w14:textId="77777777" w:rsidR="00000000" w:rsidRDefault="00000000">
      <w:pPr>
        <w:spacing w:line="640" w:lineRule="exact"/>
        <w:ind w:firstLineChars="200" w:firstLine="640"/>
        <w:outlineLvl w:val="1"/>
        <w:rPr>
          <w:rFonts w:eastAsia="KaiTi_GB2312" w:cs="KaiTi_GB2312" w:hint="eastAsia"/>
          <w:sz w:val="32"/>
          <w:szCs w:val="32"/>
        </w:rPr>
      </w:pPr>
      <w:bookmarkStart w:id="129" w:name="_Toc11566"/>
      <w:r>
        <w:rPr>
          <w:rFonts w:eastAsia="KaiTi_GB2312" w:cs="KaiTi_GB2312" w:hint="eastAsia"/>
          <w:sz w:val="32"/>
          <w:szCs w:val="32"/>
        </w:rPr>
        <w:lastRenderedPageBreak/>
        <w:t>（二）提高住宿餐饮服务品质，满足多层次需求</w:t>
      </w:r>
      <w:bookmarkEnd w:id="121"/>
      <w:bookmarkEnd w:id="129"/>
      <w:r>
        <w:rPr>
          <w:rFonts w:eastAsia="KaiTi_GB2312" w:cs="KaiTi_GB2312" w:hint="eastAsia"/>
          <w:sz w:val="32"/>
          <w:szCs w:val="32"/>
        </w:rPr>
        <w:t>。</w:t>
      </w:r>
    </w:p>
    <w:p w14:paraId="444CCA6A" w14:textId="77777777" w:rsidR="00000000" w:rsidRDefault="00000000">
      <w:pPr>
        <w:spacing w:line="64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‌构建与国际旅游消费中心相匹配的高品质住宿餐饮服务体系，做强住宿业和琼菜品牌，切实增强居民和游客的体验感、获得感与幸福感。</w:t>
      </w:r>
    </w:p>
    <w:p w14:paraId="50FE1774" w14:textId="77777777" w:rsidR="00000000" w:rsidRDefault="00000000">
      <w:pPr>
        <w:spacing w:line="640" w:lineRule="exact"/>
        <w:ind w:firstLineChars="200" w:firstLine="640"/>
        <w:outlineLvl w:val="2"/>
        <w:rPr>
          <w:rFonts w:ascii="FangSong_GB2312" w:eastAsia="FangSong_GB2312" w:hAnsi="FangSong_GB2312" w:cs="FangSong_GB2312" w:hint="eastAsia"/>
          <w:b/>
          <w:bCs/>
          <w:sz w:val="32"/>
          <w:szCs w:val="32"/>
        </w:rPr>
      </w:pPr>
      <w:bookmarkStart w:id="130" w:name="_Toc171"/>
      <w:r>
        <w:rPr>
          <w:rFonts w:ascii="FangSong_GB2312" w:eastAsia="FangSong_GB2312" w:hAnsi="FangSong_GB2312" w:cs="FangSong_GB2312" w:hint="eastAsia"/>
          <w:b/>
          <w:bCs/>
          <w:sz w:val="32"/>
          <w:szCs w:val="32"/>
        </w:rPr>
        <w:t>1.建设多层次、多类型的高品质住宿体系</w:t>
      </w:r>
      <w:bookmarkEnd w:id="130"/>
      <w:r>
        <w:rPr>
          <w:rFonts w:ascii="FangSong_GB2312" w:eastAsia="FangSong_GB2312" w:hAnsi="FangSong_GB2312" w:cs="FangSong_GB2312" w:hint="eastAsia"/>
          <w:b/>
          <w:bCs/>
          <w:sz w:val="32"/>
          <w:szCs w:val="32"/>
        </w:rPr>
        <w:t>。</w:t>
      </w:r>
    </w:p>
    <w:p w14:paraId="3ED699E7" w14:textId="77777777" w:rsidR="00000000" w:rsidRDefault="00000000">
      <w:pPr>
        <w:spacing w:line="64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联动海洋运动、康养疗愈、亲子研学、婚庆度假等资源，拓展服务新模式，发展具有历史文化、科技、亲子等元素的住宿新业态。培育一批具有辨识度的国际住宿服务品牌，鼓励连锁酒店在海南建立区域总部，“十五五”期间，每年引进国际知名酒店管理集团区域总部1家。到2030年，形成涵盖主题特色酒店、精品民宿等业态的多层次住宿供给体系。</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4C4D468B" w14:textId="77777777">
        <w:tc>
          <w:tcPr>
            <w:tcW w:w="5000" w:type="pct"/>
          </w:tcPr>
          <w:p w14:paraId="49DB07D0" w14:textId="77777777" w:rsidR="00000000" w:rsidRDefault="00000000">
            <w:pPr>
              <w:spacing w:line="560" w:lineRule="exact"/>
              <w:ind w:firstLineChars="200" w:firstLine="640"/>
              <w:jc w:val="center"/>
              <w:rPr>
                <w:rFonts w:ascii="FangSong_GB2312" w:eastAsia="FangSong_GB2312" w:hAnsi="FangSong_GB2312" w:cs="FangSong_GB2312" w:hint="eastAsia"/>
                <w:b/>
                <w:bCs/>
                <w:kern w:val="0"/>
                <w:sz w:val="32"/>
                <w:szCs w:val="32"/>
              </w:rPr>
            </w:pPr>
            <w:bookmarkStart w:id="131" w:name="_Hlk216812861"/>
            <w:r>
              <w:rPr>
                <w:rFonts w:ascii="FangSong_GB2312" w:eastAsia="FangSong_GB2312" w:hAnsi="FangSong_GB2312" w:cs="FangSong_GB2312" w:hint="eastAsia"/>
                <w:b/>
                <w:bCs/>
                <w:kern w:val="0"/>
                <w:sz w:val="32"/>
                <w:szCs w:val="32"/>
              </w:rPr>
              <w:t>专栏8  打造“住宿+”多元场景</w:t>
            </w:r>
          </w:p>
          <w:p w14:paraId="72C788AE" w14:textId="77777777" w:rsidR="00000000" w:rsidRDefault="00000000">
            <w:pPr>
              <w:spacing w:line="56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1.住宿+海洋运动，万宁、陵水、三亚等市县滨海酒店推出潜水、冲浪、海钓、游艇、帆船等体验项目。</w:t>
            </w:r>
          </w:p>
          <w:p w14:paraId="6BD37E68" w14:textId="77777777" w:rsidR="00000000" w:rsidRDefault="00000000">
            <w:pPr>
              <w:spacing w:line="56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2.住宿+康养疗愈，琼海、三亚、中部地区的酒店推出中医</w:t>
            </w:r>
            <w:r>
              <w:rPr>
                <w:rFonts w:ascii="FangSong_GB2312" w:eastAsia="FangSong_GB2312" w:hAnsi="FangSong_GB2312" w:cs="FangSong_GB2312" w:hint="eastAsia"/>
                <w:kern w:val="0"/>
                <w:sz w:val="32"/>
                <w:szCs w:val="32"/>
              </w:rPr>
              <w:lastRenderedPageBreak/>
              <w:t>养生、温泉疗养、瑜伽冥想、医疗旅游项目。</w:t>
            </w:r>
          </w:p>
          <w:p w14:paraId="2BA55E15" w14:textId="77777777" w:rsidR="00000000" w:rsidRDefault="00000000">
            <w:pPr>
              <w:spacing w:line="56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3.住宿+亲子与研学，有条件的市县鼓励酒店推出儿童俱乐部、海洋教育、航天教育、雨林探险项目。</w:t>
            </w:r>
          </w:p>
          <w:p w14:paraId="021720AD" w14:textId="77777777" w:rsidR="00000000" w:rsidRDefault="00000000">
            <w:pPr>
              <w:spacing w:line="56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4.住宿+婚庆，三亚等市县鼓励酒店建设海滩婚礼、蜜月套餐、水晶教堂、夕阳晚宴等场景。</w:t>
            </w:r>
          </w:p>
        </w:tc>
      </w:tr>
    </w:tbl>
    <w:p w14:paraId="4B981718" w14:textId="77777777" w:rsidR="00000000" w:rsidRDefault="00000000">
      <w:pPr>
        <w:spacing w:line="580" w:lineRule="exact"/>
        <w:ind w:firstLineChars="200" w:firstLine="640"/>
        <w:outlineLvl w:val="2"/>
        <w:rPr>
          <w:rFonts w:ascii="FangSong_GB2312" w:eastAsia="FangSong_GB2312" w:hAnsi="FangSong_GB2312" w:cs="FangSong_GB2312" w:hint="eastAsia"/>
          <w:b/>
          <w:bCs/>
          <w:sz w:val="32"/>
          <w:szCs w:val="32"/>
        </w:rPr>
      </w:pPr>
      <w:bookmarkStart w:id="132" w:name="_Toc13282"/>
      <w:bookmarkEnd w:id="131"/>
      <w:r>
        <w:rPr>
          <w:rFonts w:ascii="FangSong_GB2312" w:eastAsia="FangSong_GB2312" w:hAnsi="FangSong_GB2312" w:cs="FangSong_GB2312" w:hint="eastAsia"/>
          <w:b/>
          <w:bCs/>
          <w:sz w:val="32"/>
          <w:szCs w:val="32"/>
        </w:rPr>
        <w:lastRenderedPageBreak/>
        <w:t>2.提升餐饮服务品质和特色化水平</w:t>
      </w:r>
      <w:bookmarkEnd w:id="132"/>
      <w:r>
        <w:rPr>
          <w:rFonts w:ascii="FangSong_GB2312" w:eastAsia="FangSong_GB2312" w:hAnsi="FangSong_GB2312" w:cs="FangSong_GB2312" w:hint="eastAsia"/>
          <w:b/>
          <w:bCs/>
          <w:sz w:val="32"/>
          <w:szCs w:val="32"/>
        </w:rPr>
        <w:t>。</w:t>
      </w:r>
    </w:p>
    <w:p w14:paraId="24BAC0F9" w14:textId="77777777" w:rsidR="00000000" w:rsidRDefault="00000000">
      <w:pPr>
        <w:spacing w:line="58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支持餐饮连锁化发展，系统挖掘文昌鸡、糟粕醋等本土特色，推进琼菜品牌体系建设。提升餐饮服务国际化水平，引进米其林、黑珍珠等高端餐饮品牌，发展主题餐厅、海边餐饮和高端定制餐饮服务。“十五五”期间，每年引进知名餐饮品牌6个以上，培育1-2家琼菜连锁品牌，推动琼菜“走出去”。开发美食主题旅游线路，打造特色美食街区和夜间餐饮消费场景，到2030年，新增3-5个融合农业观光与美食体验的旅游项目。</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75335553" w14:textId="77777777">
        <w:tc>
          <w:tcPr>
            <w:tcW w:w="5000" w:type="pct"/>
          </w:tcPr>
          <w:p w14:paraId="2B89CE59" w14:textId="77777777" w:rsidR="00000000" w:rsidRDefault="00000000">
            <w:pPr>
              <w:spacing w:line="570" w:lineRule="exact"/>
              <w:ind w:firstLineChars="200" w:firstLine="640"/>
              <w:jc w:val="center"/>
              <w:rPr>
                <w:rFonts w:ascii="FangSong_GB2312" w:eastAsia="FangSong_GB2312" w:hAnsi="FangSong_GB2312" w:cs="FangSong_GB2312" w:hint="eastAsia"/>
                <w:b/>
                <w:bCs/>
                <w:kern w:val="0"/>
                <w:sz w:val="32"/>
                <w:szCs w:val="32"/>
              </w:rPr>
            </w:pPr>
            <w:r>
              <w:rPr>
                <w:rFonts w:ascii="FangSong_GB2312" w:eastAsia="FangSong_GB2312" w:hAnsi="FangSong_GB2312" w:cs="FangSong_GB2312" w:hint="eastAsia"/>
                <w:b/>
                <w:bCs/>
                <w:kern w:val="0"/>
                <w:sz w:val="32"/>
                <w:szCs w:val="32"/>
              </w:rPr>
              <w:t>专栏9  大力发展海南餐饮业</w:t>
            </w:r>
          </w:p>
          <w:p w14:paraId="60BE0785" w14:textId="77777777" w:rsidR="00000000" w:rsidRDefault="00000000">
            <w:pPr>
              <w:spacing w:line="570" w:lineRule="exact"/>
              <w:ind w:firstLineChars="200" w:firstLine="64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kern w:val="0"/>
                <w:sz w:val="32"/>
                <w:szCs w:val="32"/>
              </w:rPr>
              <w:t>举办“海南美食文化节”“海南味道博览会”“国际美食嘉年华”，重点推广海南特色品牌，包括文昌鸡、嘉积鸭、和乐蟹、东山羊、清补凉、椰子鸡、老爸茶、陵水酸粉、海南粉、抱罗粉、后安粉、鸡屎藤、东坡笠、临高乳猪、黎族竹筒饭、苗族三色饭等。引进国际化餐饮品牌，满足消费者多样化餐饮需求。</w:t>
            </w:r>
          </w:p>
        </w:tc>
      </w:tr>
    </w:tbl>
    <w:p w14:paraId="4D5D5374" w14:textId="77777777" w:rsidR="00000000" w:rsidRDefault="00000000">
      <w:pPr>
        <w:overflowPunct w:val="0"/>
        <w:spacing w:line="590" w:lineRule="exact"/>
        <w:ind w:firstLineChars="200" w:firstLine="640"/>
        <w:outlineLvl w:val="1"/>
        <w:rPr>
          <w:rFonts w:eastAsia="KaiTi_GB2312" w:cs="KaiTi_GB2312" w:hint="eastAsia"/>
          <w:sz w:val="32"/>
          <w:szCs w:val="32"/>
        </w:rPr>
      </w:pPr>
      <w:bookmarkStart w:id="133" w:name="_Toc11227"/>
      <w:bookmarkStart w:id="134" w:name="_Toc25641"/>
      <w:r>
        <w:rPr>
          <w:rFonts w:eastAsia="KaiTi_GB2312" w:cs="KaiTi_GB2312" w:hint="eastAsia"/>
          <w:sz w:val="32"/>
          <w:szCs w:val="32"/>
        </w:rPr>
        <w:t>（三）集聚优质教育服务，打造国际教育创新岛</w:t>
      </w:r>
      <w:bookmarkEnd w:id="128"/>
      <w:bookmarkEnd w:id="133"/>
      <w:bookmarkEnd w:id="134"/>
      <w:r>
        <w:rPr>
          <w:rFonts w:eastAsia="KaiTi_GB2312" w:cs="KaiTi_GB2312" w:hint="eastAsia"/>
          <w:sz w:val="32"/>
          <w:szCs w:val="32"/>
        </w:rPr>
        <w:t>。</w:t>
      </w:r>
    </w:p>
    <w:p w14:paraId="10575E30" w14:textId="77777777" w:rsidR="00000000" w:rsidRDefault="00000000">
      <w:pPr>
        <w:overflowPunct w:val="0"/>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集聚全球优质教育资源，提质基础教育、优化高等教育、深化国际合作，打造立足海南、服务全国的国际教育合作新高地，</w:t>
      </w:r>
      <w:r>
        <w:rPr>
          <w:rFonts w:ascii="FangSong_GB2312" w:eastAsia="FangSong_GB2312" w:hAnsi="FangSong_GB2312" w:cs="FangSong_GB2312" w:hint="eastAsia"/>
          <w:sz w:val="32"/>
          <w:szCs w:val="32"/>
        </w:rPr>
        <w:lastRenderedPageBreak/>
        <w:t>形成开放包容、产教协同、普惠共享的教育创新体系。</w:t>
      </w:r>
    </w:p>
    <w:p w14:paraId="02C51123" w14:textId="77777777" w:rsidR="00000000" w:rsidRDefault="00000000">
      <w:pPr>
        <w:overflowPunct w:val="0"/>
        <w:spacing w:line="590" w:lineRule="exact"/>
        <w:ind w:firstLineChars="200" w:firstLine="640"/>
        <w:outlineLvl w:val="2"/>
        <w:rPr>
          <w:rFonts w:ascii="FangSong_GB2312" w:eastAsia="FangSong_GB2312" w:hAnsi="FangSong_GB2312" w:cs="FangSong_GB2312" w:hint="eastAsia"/>
          <w:b/>
          <w:bCs/>
          <w:sz w:val="32"/>
          <w:szCs w:val="32"/>
        </w:rPr>
      </w:pPr>
      <w:bookmarkStart w:id="135" w:name="_Toc5629"/>
      <w:r>
        <w:rPr>
          <w:rFonts w:ascii="FangSong_GB2312" w:eastAsia="FangSong_GB2312" w:hAnsi="FangSong_GB2312" w:cs="FangSong_GB2312" w:hint="eastAsia"/>
          <w:b/>
          <w:bCs/>
          <w:sz w:val="32"/>
          <w:szCs w:val="32"/>
        </w:rPr>
        <w:t>1.基础教育服务扩优提质，中高等教育深化产教融合</w:t>
      </w:r>
      <w:bookmarkEnd w:id="135"/>
      <w:r>
        <w:rPr>
          <w:rFonts w:ascii="FangSong_GB2312" w:eastAsia="FangSong_GB2312" w:hAnsi="FangSong_GB2312" w:cs="FangSong_GB2312" w:hint="eastAsia"/>
          <w:b/>
          <w:bCs/>
          <w:sz w:val="32"/>
          <w:szCs w:val="32"/>
        </w:rPr>
        <w:t>。</w:t>
      </w:r>
    </w:p>
    <w:p w14:paraId="5D2F19F2" w14:textId="77777777" w:rsidR="00000000" w:rsidRDefault="00000000">
      <w:pPr>
        <w:overflowPunct w:val="0"/>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深入实施基础教育扩优提质行动，增加学位紧缺区域和学龄人口净流入地学位供给，推动实现从“就近就便”转向“就优就好”上学的目标。实施海南中小学人工智能教育“三三”进阶工程，部署轻量化“AI教学助理”平台。构建海口、三亚、儋州、琼海、五指山“东西南北中”职业教育区域布局，打造一</w:t>
      </w:r>
      <w:r>
        <w:rPr>
          <w:rFonts w:ascii="FangSong_GB2312" w:eastAsia="FangSong_GB2312" w:hAnsi="FangSong_GB2312" w:cs="FangSong_GB2312" w:hint="eastAsia"/>
          <w:spacing w:val="6"/>
          <w:sz w:val="32"/>
          <w:szCs w:val="32"/>
        </w:rPr>
        <w:t>批职业教育数字教学资源、虚拟仿真实训基地。推动高校与崖州</w:t>
      </w:r>
      <w:r>
        <w:rPr>
          <w:rFonts w:ascii="FangSong_GB2312" w:eastAsia="FangSong_GB2312" w:hAnsi="FangSong_GB2312" w:cs="FangSong_GB2312" w:hint="eastAsia"/>
          <w:sz w:val="32"/>
          <w:szCs w:val="32"/>
        </w:rPr>
        <w:t>湾科技城、博鳌乐城等园区共建现代产业学院，实现“产业需求—课程开发—人才输出”闭环。</w:t>
      </w:r>
    </w:p>
    <w:p w14:paraId="73033586" w14:textId="77777777" w:rsidR="00000000" w:rsidRDefault="00000000">
      <w:pPr>
        <w:overflowPunct w:val="0"/>
        <w:spacing w:line="590" w:lineRule="exact"/>
        <w:ind w:firstLineChars="200" w:firstLine="640"/>
        <w:outlineLvl w:val="2"/>
        <w:rPr>
          <w:rFonts w:ascii="FangSong_GB2312" w:eastAsia="FangSong_GB2312" w:hAnsi="FangSong_GB2312" w:cs="FangSong_GB2312" w:hint="eastAsia"/>
          <w:b/>
          <w:bCs/>
          <w:sz w:val="32"/>
          <w:szCs w:val="32"/>
        </w:rPr>
      </w:pPr>
      <w:bookmarkStart w:id="136" w:name="_Toc5946"/>
      <w:r>
        <w:rPr>
          <w:rFonts w:ascii="FangSong_GB2312" w:eastAsia="FangSong_GB2312" w:hAnsi="FangSong_GB2312" w:cs="FangSong_GB2312" w:hint="eastAsia"/>
          <w:b/>
          <w:bCs/>
          <w:sz w:val="32"/>
          <w:szCs w:val="32"/>
        </w:rPr>
        <w:t>2.深化教育国际合作</w:t>
      </w:r>
      <w:bookmarkEnd w:id="136"/>
      <w:r>
        <w:rPr>
          <w:rFonts w:ascii="FangSong_GB2312" w:eastAsia="FangSong_GB2312" w:hAnsi="FangSong_GB2312" w:cs="FangSong_GB2312" w:hint="eastAsia"/>
          <w:b/>
          <w:bCs/>
          <w:sz w:val="32"/>
          <w:szCs w:val="32"/>
        </w:rPr>
        <w:t>与交流。</w:t>
      </w:r>
    </w:p>
    <w:p w14:paraId="5D295A00" w14:textId="77777777" w:rsidR="00000000" w:rsidRDefault="00000000">
      <w:pPr>
        <w:pStyle w:val="BodyText"/>
        <w:overflowPunct w:val="0"/>
        <w:spacing w:line="590" w:lineRule="exact"/>
        <w:ind w:firstLineChars="200" w:firstLine="640"/>
        <w:rPr>
          <w:rFonts w:ascii="FangSong_GB2312" w:hAnsi="FangSong_GB2312" w:cs="FangSong_GB2312" w:hint="eastAsia"/>
          <w:sz w:val="32"/>
        </w:rPr>
      </w:pPr>
      <w:r>
        <w:rPr>
          <w:rFonts w:ascii="FangSong_GB2312" w:hAnsi="FangSong_GB2312" w:cs="FangSong_GB2312" w:hint="eastAsia"/>
          <w:sz w:val="32"/>
        </w:rPr>
        <w:t>加大国内外知名高校引进力度，加快建设陵水黎安国际教育创新试验区，支持海南比勒费尔德应用科学大学“实践嵌入式”的教育模式，支持海南洛桑旅游大学积极参与国际质量认证。重点面向“一带一路”共建国家积极吸引国际学生来琼留学，提升“留学海南”的综合吸引力。到2030年，本科层次及以上中外合作办学机构（项目）达50个。</w:t>
      </w:r>
    </w:p>
    <w:tbl>
      <w:tblPr>
        <w:tblStyle w:val="TableGrid"/>
        <w:tblW w:w="5000" w:type="pct"/>
        <w:tblInd w:w="5" w:type="dxa"/>
        <w:tblLook w:val="0000" w:firstRow="0" w:lastRow="0" w:firstColumn="0" w:lastColumn="0" w:noHBand="0" w:noVBand="0"/>
      </w:tblPr>
      <w:tblGrid>
        <w:gridCol w:w="8834"/>
      </w:tblGrid>
      <w:tr w:rsidR="00000000" w14:paraId="664C87F2" w14:textId="77777777">
        <w:tc>
          <w:tcPr>
            <w:tcW w:w="5000" w:type="pct"/>
          </w:tcPr>
          <w:p w14:paraId="166EA9D0" w14:textId="77777777" w:rsidR="00000000" w:rsidRDefault="00000000">
            <w:pPr>
              <w:spacing w:line="590" w:lineRule="exact"/>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专栏10  持续推进境内外高等院校来琼办学</w:t>
            </w:r>
          </w:p>
          <w:p w14:paraId="2E75550C" w14:textId="77777777" w:rsidR="00000000" w:rsidRDefault="00000000">
            <w:pPr>
              <w:pStyle w:val="BodyText"/>
              <w:spacing w:line="590" w:lineRule="exact"/>
              <w:ind w:firstLineChars="200" w:firstLine="640"/>
              <w:rPr>
                <w:rFonts w:ascii="FangSong_GB2312" w:hAnsi="FangSong_GB2312" w:cs="FangSong_GB2312" w:hint="eastAsia"/>
                <w:sz w:val="32"/>
              </w:rPr>
            </w:pPr>
            <w:r>
              <w:rPr>
                <w:rFonts w:ascii="FangSong_GB2312" w:hAnsi="FangSong_GB2312" w:cs="FangSong_GB2312" w:hint="eastAsia"/>
                <w:sz w:val="32"/>
              </w:rPr>
              <w:t>加快推进海南比勒费尔德应用科学大学（二期）建设，办好海南洛桑旅游大学，积极稳妥推进境外理工农医类高水平大学、职业院校独立办学探索。依托陵水黎安国际教育创新试验区，积极引进国际顶尖高校来琼办学。办好北京邮电大学玛丽女王海南</w:t>
            </w:r>
            <w:r>
              <w:rPr>
                <w:rFonts w:ascii="FangSong_GB2312" w:hAnsi="FangSong_GB2312" w:cs="FangSong_GB2312" w:hint="eastAsia"/>
                <w:sz w:val="32"/>
              </w:rPr>
              <w:lastRenderedPageBreak/>
              <w:t>学院、中国传媒大学考文垂学院、电子科技大学格拉斯哥海南学院、北京体育大学阿尔伯塔国际休闲体育与旅游学院、中央民族大学密德萨斯学院、北京语言大学克莱蒙语言科学与产业学院、北京语言大学中美国际健康学院、天津大学雷丁大学亨利国际学院、东北林业大学悉林学院、东北林业大学海南奥林学院，支持中国政法大学、中国地质大学（北京）、西安交通大学持续深化与加拿大渥太华大学、英国阿伯丁大学、加拿大不列颠哥伦比亚大学等高校在琼合作办学。</w:t>
            </w:r>
          </w:p>
        </w:tc>
      </w:tr>
    </w:tbl>
    <w:p w14:paraId="21083FE8"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37" w:name="_Toc20407"/>
      <w:bookmarkStart w:id="138" w:name="_Toc29512"/>
      <w:bookmarkEnd w:id="127"/>
      <w:r>
        <w:rPr>
          <w:rFonts w:eastAsia="KaiTi_GB2312" w:cs="KaiTi_GB2312" w:hint="eastAsia"/>
          <w:sz w:val="32"/>
          <w:szCs w:val="32"/>
        </w:rPr>
        <w:lastRenderedPageBreak/>
        <w:t>（四）优化医疗康养服务，高标准建设国际健康岛</w:t>
      </w:r>
      <w:bookmarkEnd w:id="137"/>
      <w:bookmarkEnd w:id="138"/>
      <w:r>
        <w:rPr>
          <w:rFonts w:eastAsia="KaiTi_GB2312" w:cs="KaiTi_GB2312" w:hint="eastAsia"/>
          <w:sz w:val="32"/>
          <w:szCs w:val="32"/>
        </w:rPr>
        <w:t>。</w:t>
      </w:r>
    </w:p>
    <w:p w14:paraId="54887DD3"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以打造国际领先、城乡共享的医疗康养服务高地为目标，依托博鳌乐城国际医疗旅游先行区等平台，推动“享全球医疗”和“医、养、游、健”产业一体化发展，培育医疗康养品牌，提升高端医疗供给能力和普惠服务水平。</w:t>
      </w:r>
    </w:p>
    <w:p w14:paraId="134FD9A0"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139" w:name="_Toc5113"/>
      <w:bookmarkStart w:id="140" w:name="_Toc1743"/>
      <w:r>
        <w:rPr>
          <w:rFonts w:ascii="FangSong_GB2312" w:eastAsia="FangSong_GB2312" w:hAnsi="FangSong_GB2312" w:cs="FangSong_GB2312" w:hint="eastAsia"/>
          <w:b/>
          <w:bCs/>
          <w:sz w:val="32"/>
          <w:szCs w:val="32"/>
        </w:rPr>
        <w:t>1.</w:t>
      </w:r>
      <w:bookmarkEnd w:id="139"/>
      <w:bookmarkEnd w:id="140"/>
      <w:r>
        <w:rPr>
          <w:rFonts w:ascii="FangSong_GB2312" w:eastAsia="FangSong_GB2312" w:hAnsi="FangSong_GB2312" w:cs="FangSong_GB2312" w:hint="eastAsia"/>
          <w:b/>
          <w:bCs/>
          <w:sz w:val="32"/>
          <w:szCs w:val="32"/>
        </w:rPr>
        <w:t>健康医疗康养服务提质扩容。</w:t>
      </w:r>
    </w:p>
    <w:p w14:paraId="795C9E05"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深化国家区域医疗中心和高水平医院与市县医院合作，实现“大病不出岛”。积极探索AI赋能医疗新场景，完善覆盖诊前、诊中、诊后的全流程、智能化服务。用好博鳌乐城医疗政策，引进境外医疗服务机构。支持医疗卫生机构开展个性化家庭医生签约服务，提供健康评估、慢病管理、上门巡诊、用药指导等服务。加强心理健康和精神卫生社会化服务体系建设。推广乐城全球特药险等创新产品，持续开发覆盖特需医疗、定制化康养服务的保险产品，探索发展跨境养老保险。加强养老护理员、健康照护师</w:t>
      </w:r>
      <w:r>
        <w:rPr>
          <w:rFonts w:ascii="FangSong_GB2312" w:eastAsia="FangSong_GB2312" w:hAnsi="FangSong_GB2312" w:cs="FangSong_GB2312" w:hint="eastAsia"/>
          <w:sz w:val="32"/>
          <w:szCs w:val="32"/>
        </w:rPr>
        <w:lastRenderedPageBreak/>
        <w:t>等人才技能培训和认证，提升照护服务专业化水平。到2030年，引进外商独资医院或中外合资医疗机构3家以上。</w:t>
      </w:r>
    </w:p>
    <w:p w14:paraId="71273048"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141" w:name="_Toc2504"/>
      <w:bookmarkStart w:id="142" w:name="_Toc22217"/>
      <w:r>
        <w:rPr>
          <w:rFonts w:ascii="FangSong_GB2312" w:eastAsia="FangSong_GB2312" w:hAnsi="FangSong_GB2312" w:cs="FangSong_GB2312" w:hint="eastAsia"/>
          <w:b/>
          <w:bCs/>
          <w:sz w:val="32"/>
          <w:szCs w:val="32"/>
        </w:rPr>
        <w:t>2.打造多元化医疗康养场景</w:t>
      </w:r>
      <w:bookmarkEnd w:id="141"/>
      <w:bookmarkEnd w:id="142"/>
      <w:r>
        <w:rPr>
          <w:rFonts w:ascii="FangSong_GB2312" w:eastAsia="FangSong_GB2312" w:hAnsi="FangSong_GB2312" w:cs="FangSong_GB2312" w:hint="eastAsia"/>
          <w:b/>
          <w:bCs/>
          <w:sz w:val="32"/>
          <w:szCs w:val="32"/>
        </w:rPr>
        <w:t>。</w:t>
      </w:r>
    </w:p>
    <w:p w14:paraId="07742DC6"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形成功能完备、特色鲜明的医疗康养服务生态。结合博鳌乐城医疗旅游先行区和海南生态资源，培育生物医药未来产业，发展特许医疗、健康管理、医美旅游等服务，健全防、筛、诊、治、康、管全链条服务，塑造海南“大健康”特色品牌。发展气候疗法、森林康养、海洋疗法等特色康养服务产品。以中医药服务出口基地、特色南药黎药资源，以及康养、文化资源为基础，开展中医药服务消费和服务贸易融合发展试点。加快银发经济发展，完善无障碍设施、智慧健康监测系统和慢性病管理服务。与国内国际品牌赛事相结合，加快发展运动数据分析、营养咨询等服务，拓展“体育+康养”服务场景。“十五五”期间，每年引进国际高端医疗康养龙头企业1-2家，推出国际医疗康养旅游精品线路1条。到2030年，培育中医药服务出口示范项目至少3个。</w:t>
      </w:r>
    </w:p>
    <w:tbl>
      <w:tblPr>
        <w:tblStyle w:val="TableGrid"/>
        <w:tblW w:w="5000" w:type="pct"/>
        <w:tblInd w:w="0" w:type="dxa"/>
        <w:tblCellMar>
          <w:left w:w="108" w:type="dxa"/>
          <w:right w:w="108" w:type="dxa"/>
        </w:tblCellMar>
        <w:tblLook w:val="0000" w:firstRow="0" w:lastRow="0" w:firstColumn="0" w:lastColumn="0" w:noHBand="0" w:noVBand="0"/>
      </w:tblPr>
      <w:tblGrid>
        <w:gridCol w:w="8834"/>
      </w:tblGrid>
      <w:tr w:rsidR="00000000" w14:paraId="6874EDF2" w14:textId="77777777">
        <w:tc>
          <w:tcPr>
            <w:tcW w:w="5000" w:type="pct"/>
          </w:tcPr>
          <w:p w14:paraId="0F0CC2E6" w14:textId="77777777" w:rsidR="00000000" w:rsidRDefault="00000000">
            <w:pPr>
              <w:spacing w:line="590" w:lineRule="exact"/>
              <w:ind w:firstLineChars="200" w:firstLine="640"/>
              <w:jc w:val="center"/>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专栏11  促进“医、养、游、健”产业一体化</w:t>
            </w:r>
          </w:p>
          <w:p w14:paraId="779DAD58"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1.支持瑞金海南医院、华西乐城医院、中山眼科中心海南医院等优质医院围绕专病种引进临床急需药品和医疗器械，形成乐城有“好药”“好医院”“好专科”品牌。支持“乐城先行区应用+海口高新区生产”模式，推动创新药械本地化转化和生产。</w:t>
            </w:r>
          </w:p>
          <w:p w14:paraId="77100738"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2.支持博鳌乐城一龄生命养护中心、梅赛尔医院等康养机构，引进慢病管理、医美等方面的优质产品。鼓励海口综保区、</w:t>
            </w:r>
            <w:r>
              <w:rPr>
                <w:rFonts w:ascii="FangSong_GB2312" w:eastAsia="FangSong_GB2312" w:hAnsi="FangSong_GB2312" w:cs="FangSong_GB2312" w:hint="eastAsia"/>
                <w:sz w:val="32"/>
                <w:szCs w:val="32"/>
              </w:rPr>
              <w:lastRenderedPageBreak/>
              <w:t>秀英区高端食品加工企业研发生产特医食品和保健品。</w:t>
            </w:r>
          </w:p>
          <w:p w14:paraId="3CF1F218"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3.强化国际合作。赴欧洲、美国、日本等医疗先进国家及地区举办海外招商推介会，推动国际生物医药企业、医疗器械企业与乐城建立合作，从医药和医疗器械方面提升海南国际医疗水平。在北上广深等一线城市进行产品推介，扩大和持续引流患者群体赴琼就医。</w:t>
            </w:r>
          </w:p>
          <w:p w14:paraId="28E15B36" w14:textId="77777777" w:rsidR="00000000" w:rsidRDefault="00000000">
            <w:pPr>
              <w:spacing w:line="59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4.加快建设博鳌乐城医疗旅游先行区生物医药未来产业培育项目、三亚方大医疗健康城项目，提升国际医疗服务能力。建设保亭黎族苗族自治县加茂医疗健康产业园，藤云麓·五指山体康旅综合体等康养项目，创新探索“体+康+旅”融合发展的新型服务模式。</w:t>
            </w:r>
          </w:p>
        </w:tc>
      </w:tr>
    </w:tbl>
    <w:p w14:paraId="68D95A1E"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43" w:name="_Toc5476"/>
      <w:bookmarkStart w:id="144" w:name="_Toc29935"/>
      <w:r>
        <w:rPr>
          <w:rFonts w:eastAsia="KaiTi_GB2312" w:cs="KaiTi_GB2312" w:hint="eastAsia"/>
          <w:sz w:val="32"/>
          <w:szCs w:val="32"/>
        </w:rPr>
        <w:lastRenderedPageBreak/>
        <w:t>（五）提升居民服务和公共服务水平，增进人民生活福祉</w:t>
      </w:r>
      <w:bookmarkEnd w:id="143"/>
      <w:bookmarkEnd w:id="144"/>
      <w:r>
        <w:rPr>
          <w:rFonts w:eastAsia="KaiTi_GB2312" w:cs="KaiTi_GB2312" w:hint="eastAsia"/>
          <w:sz w:val="32"/>
          <w:szCs w:val="32"/>
        </w:rPr>
        <w:t>。</w:t>
      </w:r>
    </w:p>
    <w:p w14:paraId="75631EBE"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顺应居民对高品质生活的新需求，以及家庭服务刚性需求，拓展新型到家服务，推动家庭服务专业化、规范化、品牌化发展，做精做细个性化服务。建立家政服务机构和服务人员诚信档案，提升从业人员素质和专业化服务水平，拓展家庭管家、家庭病护、智慧家政等特约、定制类服务，“十五五”期间，每年吸引国内外大型家政服务企业5-6家。聚焦“一老一小”重点群体，大力发展居家社区养老，推进适老化改造，发展普惠型机构养老、康养结合服务。扩大普惠托育供给，完善婴幼儿照护指导服务，增设托育点位，提供全日托、临时托、亲子照护等便民服务。引导社会力量参与运营管理，丰富服务业态、提升服务温度。到2030</w:t>
      </w:r>
      <w:r>
        <w:rPr>
          <w:rFonts w:ascii="FangSong_GB2312" w:eastAsia="FangSong_GB2312" w:hAnsi="FangSong_GB2312" w:cs="FangSong_GB2312" w:hint="eastAsia"/>
          <w:sz w:val="32"/>
          <w:szCs w:val="32"/>
        </w:rPr>
        <w:lastRenderedPageBreak/>
        <w:t>年，区域养老服务中心服务覆盖率达到80％。</w:t>
      </w:r>
    </w:p>
    <w:p w14:paraId="769F43CD"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bookmarkStart w:id="145" w:name="_Toc26473"/>
      <w:r>
        <w:rPr>
          <w:rFonts w:ascii="FangSong_GB2312" w:eastAsia="FangSong_GB2312" w:hAnsi="FangSong_GB2312" w:cs="FangSong_GB2312" w:hint="eastAsia"/>
          <w:sz w:val="32"/>
          <w:szCs w:val="32"/>
        </w:rPr>
        <w:t>加大公共服务供给。提升景区管理能力，做好景区流量预警和预约管理，规范景区收费标准，鼓励热门景区、文娱场馆等延长开放时间，提升景区体验感和舒适度。融合非遗与景观特色，打造景区景观特色服务设施，提升景观辨识度与知名度。加快再生资源回收管理体系项目落地，支持屯昌、昌江等具备条件的市县建设可再生资源循环利用基地项目，健全“换新+回收”物流体系，到2030年全省建成10个再生资源集散中心、50个分拣处理中心和多个中转站及回收服务网点。</w:t>
      </w:r>
      <w:bookmarkEnd w:id="145"/>
    </w:p>
    <w:p w14:paraId="56F8F526"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46" w:name="_Toc9057"/>
      <w:bookmarkStart w:id="147" w:name="_Toc16787"/>
      <w:r>
        <w:rPr>
          <w:rFonts w:eastAsia="KaiTi_GB2312" w:cs="KaiTi_GB2312" w:hint="eastAsia"/>
          <w:sz w:val="32"/>
          <w:szCs w:val="32"/>
        </w:rPr>
        <w:t>（六）充分发挥房地产服务功能，持续提升海南城市宜居度</w:t>
      </w:r>
      <w:bookmarkEnd w:id="146"/>
      <w:bookmarkEnd w:id="147"/>
      <w:r>
        <w:rPr>
          <w:rFonts w:eastAsia="KaiTi_GB2312" w:cs="KaiTi_GB2312" w:hint="eastAsia"/>
          <w:sz w:val="32"/>
          <w:szCs w:val="32"/>
        </w:rPr>
        <w:t>。</w:t>
      </w:r>
    </w:p>
    <w:p w14:paraId="27E19F61"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提供多元化住房供给，提升配套服务，满足居民个性化住房需求，打造具有热带海岛特色的现代化宜居城市样板。“十五五”期间，房地产业增加值年均增速达到4%。</w:t>
      </w:r>
    </w:p>
    <w:p w14:paraId="15AC0749"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148" w:name="_Toc12382"/>
      <w:bookmarkStart w:id="149" w:name="_Toc16172"/>
      <w:r>
        <w:rPr>
          <w:rFonts w:ascii="FangSong_GB2312" w:eastAsia="FangSong_GB2312" w:hAnsi="FangSong_GB2312" w:cs="FangSong_GB2312" w:hint="eastAsia"/>
          <w:b/>
          <w:bCs/>
          <w:sz w:val="32"/>
          <w:szCs w:val="32"/>
        </w:rPr>
        <w:t>1.提供多元化住房供给，提升基本住房品质</w:t>
      </w:r>
      <w:bookmarkEnd w:id="149"/>
      <w:r>
        <w:rPr>
          <w:rFonts w:ascii="FangSong_GB2312" w:eastAsia="FangSong_GB2312" w:hAnsi="FangSong_GB2312" w:cs="FangSong_GB2312" w:hint="eastAsia"/>
          <w:b/>
          <w:bCs/>
          <w:sz w:val="32"/>
          <w:szCs w:val="32"/>
        </w:rPr>
        <w:t>。</w:t>
      </w:r>
    </w:p>
    <w:p w14:paraId="03A03418"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规范并加强保障性住房建设投资、申请、审核、分配、使用、退出的全流程管理，加强安居房、保障性租赁住房、公共租赁住房的筹集建设和分配管理，实现住房保障资源精准配置。鼓励海口、三亚等城市加快保障性住房建设，支持社会资本参与，满足人民群众从“有地方住”到“住得好、住得值”的需求升级。盘活办公房、公寓、商品房闲置资源。</w:t>
      </w:r>
    </w:p>
    <w:p w14:paraId="33FB3584" w14:textId="77777777" w:rsidR="00000000" w:rsidRDefault="00000000">
      <w:pPr>
        <w:overflowPunct w:val="0"/>
        <w:spacing w:line="600" w:lineRule="exact"/>
        <w:ind w:firstLineChars="200" w:firstLine="640"/>
        <w:outlineLvl w:val="2"/>
        <w:rPr>
          <w:rFonts w:ascii="FangSong_GB2312" w:eastAsia="FangSong_GB2312" w:hAnsi="FangSong_GB2312" w:cs="FangSong_GB2312" w:hint="eastAsia"/>
          <w:b/>
          <w:bCs/>
          <w:sz w:val="32"/>
          <w:szCs w:val="32"/>
        </w:rPr>
      </w:pPr>
      <w:bookmarkStart w:id="150" w:name="_Toc29819"/>
      <w:bookmarkStart w:id="151" w:name="_Toc28916"/>
      <w:bookmarkEnd w:id="148"/>
      <w:r>
        <w:rPr>
          <w:rFonts w:ascii="FangSong_GB2312" w:eastAsia="FangSong_GB2312" w:hAnsi="FangSong_GB2312" w:cs="FangSong_GB2312" w:hint="eastAsia"/>
          <w:b/>
          <w:bCs/>
          <w:sz w:val="32"/>
          <w:szCs w:val="32"/>
        </w:rPr>
        <w:t>2.增加优质配套服务，</w:t>
      </w:r>
      <w:bookmarkEnd w:id="150"/>
      <w:r>
        <w:rPr>
          <w:rFonts w:ascii="FangSong_GB2312" w:eastAsia="FangSong_GB2312" w:hAnsi="FangSong_GB2312" w:cs="FangSong_GB2312" w:hint="eastAsia"/>
          <w:b/>
          <w:bCs/>
          <w:sz w:val="32"/>
          <w:szCs w:val="32"/>
        </w:rPr>
        <w:t>满足“好房子”市场需求</w:t>
      </w:r>
      <w:bookmarkEnd w:id="151"/>
      <w:r>
        <w:rPr>
          <w:rFonts w:ascii="FangSong_GB2312" w:eastAsia="FangSong_GB2312" w:hAnsi="FangSong_GB2312" w:cs="FangSong_GB2312" w:hint="eastAsia"/>
          <w:b/>
          <w:bCs/>
          <w:sz w:val="32"/>
          <w:szCs w:val="32"/>
        </w:rPr>
        <w:t>。</w:t>
      </w:r>
    </w:p>
    <w:p w14:paraId="4740D6A7" w14:textId="77777777" w:rsidR="00000000" w:rsidRDefault="00000000">
      <w:pPr>
        <w:overflowPunct w:val="0"/>
        <w:spacing w:line="600" w:lineRule="exact"/>
        <w:ind w:firstLineChars="200" w:firstLine="640"/>
        <w:outlineLvl w:val="3"/>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在海口、三亚、琼海、万宁、陵水等市县规划建设国际化社</w:t>
      </w:r>
      <w:r>
        <w:rPr>
          <w:rFonts w:ascii="FangSong_GB2312" w:eastAsia="FangSong_GB2312" w:hAnsi="FangSong_GB2312" w:cs="FangSong_GB2312" w:hint="eastAsia"/>
          <w:sz w:val="32"/>
          <w:szCs w:val="32"/>
        </w:rPr>
        <w:lastRenderedPageBreak/>
        <w:t>区、高端服务公寓和改善性高品质住宅，引入房屋托管机构，发展家庭公寓、别墅租赁；增设社区国际学校、医疗等配套服务；鼓励物业企业引入智慧管理，推广物业服务企业信用评价，营造宜居宜业、宜学宜养的生活环境，满足候鸟式居住和长期旅居等多元化需求。“十五五”期间，每年引育大型房产租赁企业在海南设立运营部以及服务式公寓运营中心等机构1-2家。</w:t>
      </w:r>
    </w:p>
    <w:p w14:paraId="1D77AC5F" w14:textId="77777777" w:rsidR="00000000" w:rsidRDefault="00000000">
      <w:pPr>
        <w:overflowPunct w:val="0"/>
        <w:spacing w:line="600" w:lineRule="exact"/>
        <w:ind w:firstLineChars="200" w:firstLine="640"/>
        <w:outlineLvl w:val="0"/>
        <w:rPr>
          <w:rFonts w:eastAsia="SimHei" w:cs="SimHei" w:hint="eastAsia"/>
          <w:sz w:val="32"/>
          <w:szCs w:val="32"/>
        </w:rPr>
      </w:pPr>
      <w:bookmarkStart w:id="152" w:name="_Toc2261"/>
      <w:bookmarkStart w:id="153" w:name="_Toc6832"/>
      <w:bookmarkEnd w:id="122"/>
      <w:bookmarkEnd w:id="123"/>
      <w:bookmarkEnd w:id="124"/>
      <w:bookmarkEnd w:id="125"/>
      <w:bookmarkEnd w:id="126"/>
      <w:r>
        <w:rPr>
          <w:rFonts w:eastAsia="SimHei" w:cs="SimHei" w:hint="eastAsia"/>
          <w:sz w:val="32"/>
          <w:szCs w:val="32"/>
        </w:rPr>
        <w:t>四、</w:t>
      </w:r>
      <w:bookmarkStart w:id="154" w:name="_Toc31230"/>
      <w:bookmarkStart w:id="155" w:name="_Toc28745"/>
      <w:bookmarkStart w:id="156" w:name="_Toc23919"/>
      <w:bookmarkStart w:id="157" w:name="_Toc10542"/>
      <w:bookmarkStart w:id="158" w:name="_Toc16023"/>
      <w:bookmarkStart w:id="159" w:name="_Toc18559"/>
      <w:bookmarkStart w:id="160" w:name="_Toc29888"/>
      <w:bookmarkStart w:id="161" w:name="_Toc22280"/>
      <w:bookmarkStart w:id="162" w:name="_Toc2767"/>
      <w:bookmarkStart w:id="163" w:name="_Toc11210"/>
      <w:bookmarkStart w:id="164" w:name="_Toc148"/>
      <w:bookmarkStart w:id="165" w:name="_Toc29684"/>
      <w:bookmarkStart w:id="166" w:name="_Toc12815"/>
      <w:bookmarkEnd w:id="120"/>
      <w:bookmarkEnd w:id="152"/>
      <w:r>
        <w:rPr>
          <w:rFonts w:eastAsia="SimHei" w:cs="SimHei" w:hint="eastAsia"/>
          <w:sz w:val="32"/>
          <w:szCs w:val="32"/>
        </w:rPr>
        <w:t>扩大服务业对外开放</w:t>
      </w:r>
      <w:bookmarkEnd w:id="153"/>
      <w:bookmarkEnd w:id="165"/>
    </w:p>
    <w:p w14:paraId="131C7AFA"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67" w:name="_Toc13928"/>
      <w:bookmarkStart w:id="168" w:name="_Toc12414"/>
      <w:r>
        <w:rPr>
          <w:rFonts w:eastAsia="KaiTi_GB2312" w:cs="KaiTi_GB2312" w:hint="eastAsia"/>
          <w:sz w:val="32"/>
          <w:szCs w:val="32"/>
        </w:rPr>
        <w:t>（一）</w:t>
      </w:r>
      <w:bookmarkEnd w:id="168"/>
      <w:r>
        <w:rPr>
          <w:rFonts w:eastAsia="KaiTi_GB2312" w:cs="KaiTi_GB2312" w:hint="eastAsia"/>
          <w:sz w:val="32"/>
          <w:szCs w:val="32"/>
        </w:rPr>
        <w:t>稳步扩大服务业制度型开放</w:t>
      </w:r>
      <w:bookmarkEnd w:id="167"/>
      <w:r>
        <w:rPr>
          <w:rFonts w:eastAsia="KaiTi_GB2312" w:cs="KaiTi_GB2312" w:hint="eastAsia"/>
          <w:sz w:val="32"/>
          <w:szCs w:val="32"/>
        </w:rPr>
        <w:t>。</w:t>
      </w:r>
    </w:p>
    <w:p w14:paraId="46A680B7" w14:textId="77777777" w:rsidR="00000000" w:rsidRDefault="00000000">
      <w:pPr>
        <w:overflowPunct w:val="0"/>
        <w:spacing w:line="600" w:lineRule="exact"/>
        <w:ind w:firstLineChars="200" w:firstLine="640"/>
        <w:rPr>
          <w:rFonts w:eastAsia="FangSong_GB2312" w:cs="FangSong_GB2312" w:hint="eastAsia"/>
          <w:sz w:val="32"/>
          <w:szCs w:val="32"/>
        </w:rPr>
      </w:pPr>
      <w:r>
        <w:rPr>
          <w:rFonts w:eastAsia="FangSong_GB2312" w:cs="FangSong_GB2312" w:hint="eastAsia"/>
          <w:sz w:val="32"/>
          <w:szCs w:val="32"/>
        </w:rPr>
        <w:t>推进服务业更深层次、更宽领域、更大力度的全方位高水平开放。研究优化跨境服务贸易负面清单和外商投资准入负面清单，建设国家服务贸易创新发展示范区。健全外商投资服务保障体系，全面落实外资准入前国民待遇加负面清单管理制度，促进外资境内再投资。</w:t>
      </w:r>
      <w:r>
        <w:rPr>
          <w:rFonts w:ascii="FangSong_GB2312" w:eastAsia="FangSong_GB2312" w:hAnsi="FangSong_GB2312" w:cs="FangSong_GB2312" w:hint="eastAsia"/>
          <w:sz w:val="32"/>
          <w:szCs w:val="32"/>
        </w:rPr>
        <w:t>主动对标全面与进步跨太平洋伙伴关系协定（CPTPP）、数字经济伙伴关系协定（DEPA）等国际高标准经贸规则，健全多领域安全审查与风险预警监管体系。</w:t>
      </w:r>
    </w:p>
    <w:p w14:paraId="7CA4D9A6" w14:textId="77777777" w:rsidR="00000000" w:rsidRDefault="00000000">
      <w:pPr>
        <w:overflowPunct w:val="0"/>
        <w:spacing w:line="600" w:lineRule="exact"/>
        <w:ind w:firstLineChars="200" w:firstLine="640"/>
        <w:outlineLvl w:val="1"/>
        <w:rPr>
          <w:rFonts w:eastAsia="KaiTi_GB2312" w:cs="KaiTi_GB2312"/>
          <w:sz w:val="32"/>
          <w:szCs w:val="32"/>
        </w:rPr>
      </w:pPr>
      <w:bookmarkStart w:id="169" w:name="_Toc391"/>
      <w:bookmarkStart w:id="170" w:name="_Toc5791"/>
      <w:r>
        <w:rPr>
          <w:rFonts w:eastAsia="KaiTi_GB2312" w:cs="KaiTi_GB2312" w:hint="eastAsia"/>
          <w:sz w:val="32"/>
          <w:szCs w:val="32"/>
        </w:rPr>
        <w:t>（二）扎实推进服务业扩大开放综合试点</w:t>
      </w:r>
      <w:bookmarkEnd w:id="169"/>
      <w:bookmarkEnd w:id="170"/>
      <w:r>
        <w:rPr>
          <w:rFonts w:eastAsia="KaiTi_GB2312" w:cs="KaiTi_GB2312" w:hint="eastAsia"/>
          <w:sz w:val="32"/>
          <w:szCs w:val="32"/>
        </w:rPr>
        <w:t>。</w:t>
      </w:r>
    </w:p>
    <w:p w14:paraId="5B3EA818" w14:textId="77777777" w:rsidR="00000000" w:rsidRDefault="00000000">
      <w:pPr>
        <w:overflowPunct w:val="0"/>
        <w:spacing w:line="600" w:lineRule="exact"/>
        <w:ind w:firstLineChars="200" w:firstLine="64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电信服务领域健全数据交易与安全体系。医疗康养领域放宽机构合作限制和罕见病药品进口限制。金融领域深化合格境外有限合伙人（QFLP）试点，发展绿色金融和离岸贸易。商贸文旅领域优化跨境电商与国际化消费设施。交通领域打通跨境货运绿色通道，探索多式联运新模式。推动制造业与服务业深度融合，培育商业航天、智能网联汽车等新兴产业链。同时优化外资外汇</w:t>
      </w:r>
      <w:r>
        <w:rPr>
          <w:rFonts w:ascii="FangSong_GB2312" w:eastAsia="FangSong_GB2312" w:hAnsi="FangSong_GB2312" w:cs="FangSong_GB2312" w:hint="eastAsia"/>
          <w:sz w:val="32"/>
          <w:szCs w:val="32"/>
        </w:rPr>
        <w:lastRenderedPageBreak/>
        <w:t>管理、简化口岸流程，放宽外籍人才执业居留限制。完善数据、运输等重点领域的行业规范，推动国际标准互认衔接。</w:t>
      </w:r>
    </w:p>
    <w:p w14:paraId="0DC3850D" w14:textId="77777777" w:rsidR="00000000" w:rsidRDefault="00000000">
      <w:pPr>
        <w:overflowPunct w:val="0"/>
        <w:spacing w:line="600" w:lineRule="exact"/>
        <w:ind w:firstLineChars="200" w:firstLine="640"/>
        <w:outlineLvl w:val="0"/>
        <w:rPr>
          <w:rFonts w:eastAsia="SimHei" w:cs="SimHei" w:hint="eastAsia"/>
          <w:sz w:val="32"/>
          <w:szCs w:val="32"/>
        </w:rPr>
      </w:pPr>
      <w:bookmarkStart w:id="171" w:name="_Toc17068"/>
      <w:bookmarkStart w:id="172" w:name="_Toc19209"/>
      <w:r>
        <w:rPr>
          <w:rFonts w:eastAsia="SimHei" w:cs="SimHei" w:hint="eastAsia"/>
          <w:sz w:val="32"/>
          <w:szCs w:val="32"/>
        </w:rPr>
        <w:t>五、保障措施</w:t>
      </w:r>
      <w:bookmarkEnd w:id="154"/>
      <w:bookmarkEnd w:id="155"/>
      <w:bookmarkEnd w:id="156"/>
      <w:bookmarkEnd w:id="157"/>
      <w:bookmarkEnd w:id="158"/>
      <w:bookmarkEnd w:id="159"/>
      <w:bookmarkEnd w:id="160"/>
      <w:bookmarkEnd w:id="161"/>
      <w:bookmarkEnd w:id="162"/>
      <w:bookmarkEnd w:id="163"/>
      <w:bookmarkEnd w:id="164"/>
      <w:bookmarkEnd w:id="166"/>
      <w:bookmarkEnd w:id="171"/>
      <w:bookmarkEnd w:id="172"/>
    </w:p>
    <w:p w14:paraId="20D3FF85"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73" w:name="_Toc7381"/>
      <w:bookmarkStart w:id="174" w:name="_Toc1936"/>
      <w:bookmarkStart w:id="175" w:name="_Toc14664"/>
      <w:bookmarkStart w:id="176" w:name="_Toc25316"/>
      <w:bookmarkStart w:id="177" w:name="_Toc21676"/>
      <w:bookmarkStart w:id="178" w:name="_Toc9769"/>
      <w:bookmarkStart w:id="179" w:name="_Toc17115"/>
      <w:bookmarkStart w:id="180" w:name="_Toc23477"/>
      <w:bookmarkStart w:id="181" w:name="_Toc27884"/>
      <w:bookmarkStart w:id="182" w:name="_Toc18181"/>
      <w:bookmarkStart w:id="183" w:name="_Toc28287"/>
      <w:bookmarkStart w:id="184" w:name="_Toc17328"/>
      <w:bookmarkStart w:id="185" w:name="_Toc9868"/>
      <w:bookmarkStart w:id="186" w:name="_Toc10316"/>
      <w:bookmarkStart w:id="187" w:name="_Toc20011"/>
      <w:bookmarkStart w:id="188" w:name="_Toc21378"/>
      <w:bookmarkStart w:id="189" w:name="_Toc18359"/>
      <w:bookmarkStart w:id="190" w:name="_Toc32162"/>
      <w:bookmarkStart w:id="191" w:name="_Toc10041"/>
      <w:bookmarkStart w:id="192" w:name="_Toc708"/>
      <w:bookmarkStart w:id="193" w:name="_Toc2577"/>
      <w:bookmarkStart w:id="194" w:name="_Toc13064"/>
      <w:bookmarkStart w:id="195" w:name="_Toc13713"/>
      <w:bookmarkStart w:id="196" w:name="_Toc30385"/>
      <w:bookmarkStart w:id="197" w:name="_Toc16959"/>
      <w:bookmarkStart w:id="198" w:name="_Toc10267"/>
      <w:r>
        <w:rPr>
          <w:rFonts w:eastAsia="KaiTi_GB2312" w:cs="KaiTi_GB2312" w:hint="eastAsia"/>
          <w:sz w:val="32"/>
          <w:szCs w:val="32"/>
        </w:rPr>
        <w:t>（一）</w:t>
      </w:r>
      <w:bookmarkEnd w:id="186"/>
      <w:bookmarkEnd w:id="188"/>
      <w:bookmarkEnd w:id="189"/>
      <w:bookmarkEnd w:id="190"/>
      <w:bookmarkEnd w:id="191"/>
      <w:bookmarkEnd w:id="192"/>
      <w:bookmarkEnd w:id="193"/>
      <w:bookmarkEnd w:id="194"/>
      <w:bookmarkEnd w:id="195"/>
      <w:bookmarkEnd w:id="196"/>
      <w:bookmarkEnd w:id="197"/>
      <w:bookmarkEnd w:id="198"/>
      <w:r>
        <w:rPr>
          <w:rFonts w:eastAsia="KaiTi_GB2312" w:cs="KaiTi_GB2312" w:hint="eastAsia"/>
          <w:sz w:val="32"/>
          <w:szCs w:val="32"/>
        </w:rPr>
        <w:t>健全防控体系，保障服务业安全发展</w:t>
      </w:r>
      <w:bookmarkEnd w:id="173"/>
      <w:bookmarkEnd w:id="187"/>
      <w:r>
        <w:rPr>
          <w:rFonts w:eastAsia="KaiTi_GB2312" w:cs="KaiTi_GB2312" w:hint="eastAsia"/>
          <w:sz w:val="32"/>
          <w:szCs w:val="32"/>
        </w:rPr>
        <w:t>。</w:t>
      </w:r>
    </w:p>
    <w:p w14:paraId="7FFE42D7" w14:textId="77777777" w:rsidR="00000000" w:rsidRDefault="00000000">
      <w:pPr>
        <w:overflowPunct w:val="0"/>
        <w:spacing w:line="600" w:lineRule="exact"/>
        <w:ind w:firstLineChars="200" w:firstLine="640"/>
        <w:rPr>
          <w:rFonts w:eastAsia="FangSong_GB2312" w:cs="FangSong_GB2312" w:hint="eastAsia"/>
          <w:sz w:val="32"/>
          <w:szCs w:val="32"/>
        </w:rPr>
      </w:pPr>
      <w:r>
        <w:rPr>
          <w:rFonts w:eastAsia="FangSong_GB2312" w:cs="FangSong_GB2312" w:hint="eastAsia"/>
          <w:sz w:val="32"/>
          <w:szCs w:val="32"/>
        </w:rPr>
        <w:t>统筹发展</w:t>
      </w:r>
      <w:r>
        <w:rPr>
          <w:rFonts w:eastAsia="FangSong_GB2312" w:cs="FangSong_GB2312"/>
          <w:sz w:val="32"/>
          <w:szCs w:val="32"/>
        </w:rPr>
        <w:t>与</w:t>
      </w:r>
      <w:r>
        <w:rPr>
          <w:rFonts w:eastAsia="FangSong_GB2312" w:cs="FangSong_GB2312" w:hint="eastAsia"/>
          <w:sz w:val="32"/>
          <w:szCs w:val="32"/>
        </w:rPr>
        <w:t>安全，</w:t>
      </w:r>
      <w:r>
        <w:rPr>
          <w:rFonts w:eastAsia="FangSong_GB2312" w:cs="FangSong_GB2312"/>
          <w:sz w:val="32"/>
          <w:szCs w:val="32"/>
        </w:rPr>
        <w:t>强化数据安全、民生服务质量、金融风险、安全生产常态化</w:t>
      </w:r>
      <w:r>
        <w:rPr>
          <w:rFonts w:eastAsia="FangSong_GB2312" w:cs="FangSong_GB2312" w:hint="eastAsia"/>
          <w:sz w:val="32"/>
          <w:szCs w:val="32"/>
        </w:rPr>
        <w:t>监测预警</w:t>
      </w:r>
      <w:r>
        <w:rPr>
          <w:rFonts w:eastAsia="FangSong_GB2312" w:cs="FangSong_GB2312"/>
          <w:sz w:val="32"/>
          <w:szCs w:val="32"/>
        </w:rPr>
        <w:t>。完善消费者权益保护、服务纠纷快速处置机制。健全公共服务应急保障体系，提升医疗、养老、物流等领域应急保障能力。</w:t>
      </w:r>
      <w:r>
        <w:rPr>
          <w:rFonts w:eastAsia="FangSong_GB2312" w:cs="FangSong_GB2312" w:hint="eastAsia"/>
          <w:sz w:val="32"/>
          <w:szCs w:val="32"/>
        </w:rPr>
        <w:t>推进房地产、地方政府债务、中小金融机构等风险防控，严防系统性风险；加强反走私治理，完善“二线口岸”通关信用监管体系。健全应急管理与信用约束机制，持续深化“智慧海南”“诚信海南”建设，实施信用分级分类监管，切实筑牢服务业安全发展制度基础，确保服务业在稳定环境中提质增效。</w:t>
      </w:r>
    </w:p>
    <w:p w14:paraId="585734C7"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199" w:name="_Toc20393"/>
      <w:r>
        <w:rPr>
          <w:rFonts w:eastAsia="KaiTi_GB2312" w:cs="KaiTi_GB2312" w:hint="eastAsia"/>
          <w:sz w:val="32"/>
          <w:szCs w:val="32"/>
        </w:rPr>
        <w:t>（二）</w:t>
      </w:r>
      <w:bookmarkEnd w:id="174"/>
      <w:bookmarkEnd w:id="175"/>
      <w:bookmarkEnd w:id="176"/>
      <w:bookmarkEnd w:id="177"/>
      <w:bookmarkEnd w:id="178"/>
      <w:bookmarkEnd w:id="179"/>
      <w:bookmarkEnd w:id="180"/>
      <w:bookmarkEnd w:id="181"/>
      <w:bookmarkEnd w:id="182"/>
      <w:bookmarkEnd w:id="183"/>
      <w:bookmarkEnd w:id="184"/>
      <w:bookmarkEnd w:id="185"/>
      <w:r>
        <w:rPr>
          <w:rFonts w:eastAsia="KaiTi_GB2312" w:cs="KaiTi_GB2312" w:hint="eastAsia"/>
          <w:sz w:val="32"/>
          <w:szCs w:val="32"/>
        </w:rPr>
        <w:t>强化统筹协调，优化服务业营商环境</w:t>
      </w:r>
      <w:bookmarkEnd w:id="199"/>
      <w:r>
        <w:rPr>
          <w:rFonts w:eastAsia="KaiTi_GB2312" w:cs="KaiTi_GB2312" w:hint="eastAsia"/>
          <w:sz w:val="32"/>
          <w:szCs w:val="32"/>
        </w:rPr>
        <w:t>。</w:t>
      </w:r>
    </w:p>
    <w:p w14:paraId="2490AE1B" w14:textId="77777777" w:rsidR="00000000" w:rsidRDefault="00000000">
      <w:pPr>
        <w:overflowPunct w:val="0"/>
        <w:spacing w:line="600" w:lineRule="exact"/>
        <w:ind w:firstLineChars="200" w:firstLine="640"/>
        <w:rPr>
          <w:rFonts w:eastAsia="FangSong_GB2312" w:cs="FangSong_GB2312" w:hint="eastAsia"/>
          <w:sz w:val="32"/>
          <w:szCs w:val="32"/>
        </w:rPr>
      </w:pPr>
      <w:bookmarkStart w:id="200" w:name="_Toc10350"/>
      <w:bookmarkStart w:id="201" w:name="_Toc29084"/>
      <w:bookmarkStart w:id="202" w:name="_Toc15190"/>
      <w:bookmarkStart w:id="203" w:name="_Toc16646"/>
      <w:bookmarkStart w:id="204" w:name="_Toc28251"/>
      <w:bookmarkStart w:id="205" w:name="_Toc31071"/>
      <w:bookmarkStart w:id="206" w:name="_Toc9965"/>
      <w:bookmarkStart w:id="207" w:name="_Toc17674"/>
      <w:bookmarkStart w:id="208" w:name="_Toc27013"/>
      <w:bookmarkStart w:id="209" w:name="_Toc14958"/>
      <w:bookmarkStart w:id="210" w:name="_Toc28919"/>
      <w:bookmarkStart w:id="211" w:name="_Toc27284"/>
      <w:r>
        <w:rPr>
          <w:rFonts w:eastAsia="FangSong_GB2312" w:cs="FangSong_GB2312" w:hint="eastAsia"/>
          <w:sz w:val="32"/>
          <w:szCs w:val="32"/>
        </w:rPr>
        <w:t>建立服务业高质量发展跨部门协调机制，加强政策协同和资源整合，着力破除制约数字经济、跨境金融、航运服务、离岸贸易等重点服务业领域发展的体制机制障碍。持续优化政务服务，提升行政效能，推动政务服务向“好办、易办”转变。构建以信用为基础的新型监管模式，健全与国际接轨的服务标准与认证体系，营造稳定、公平、透明、可预期的服务业发展环境。</w:t>
      </w:r>
    </w:p>
    <w:p w14:paraId="5D74064B"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212" w:name="_Toc25848"/>
      <w:bookmarkStart w:id="213" w:name="_Toc15338"/>
      <w:r>
        <w:rPr>
          <w:rFonts w:eastAsia="KaiTi_GB2312" w:cs="KaiTi_GB2312" w:hint="eastAsia"/>
          <w:sz w:val="32"/>
          <w:szCs w:val="32"/>
        </w:rPr>
        <w:t>（三）</w:t>
      </w:r>
      <w:bookmarkEnd w:id="200"/>
      <w:bookmarkEnd w:id="201"/>
      <w:bookmarkEnd w:id="202"/>
      <w:bookmarkEnd w:id="203"/>
      <w:bookmarkEnd w:id="204"/>
      <w:bookmarkEnd w:id="205"/>
      <w:bookmarkEnd w:id="206"/>
      <w:bookmarkEnd w:id="207"/>
      <w:bookmarkEnd w:id="208"/>
      <w:bookmarkEnd w:id="209"/>
      <w:bookmarkEnd w:id="210"/>
      <w:bookmarkEnd w:id="211"/>
      <w:r>
        <w:rPr>
          <w:rFonts w:eastAsia="KaiTi_GB2312" w:cs="KaiTi_GB2312" w:hint="eastAsia"/>
          <w:sz w:val="32"/>
          <w:szCs w:val="32"/>
        </w:rPr>
        <w:t>聚焦产业需求，加强服务业人才支撑</w:t>
      </w:r>
      <w:bookmarkEnd w:id="212"/>
      <w:bookmarkEnd w:id="213"/>
      <w:r>
        <w:rPr>
          <w:rFonts w:eastAsia="KaiTi_GB2312" w:cs="KaiTi_GB2312" w:hint="eastAsia"/>
          <w:sz w:val="32"/>
          <w:szCs w:val="32"/>
        </w:rPr>
        <w:t>。</w:t>
      </w:r>
    </w:p>
    <w:p w14:paraId="472245D6" w14:textId="77777777" w:rsidR="00000000" w:rsidRDefault="00000000">
      <w:pPr>
        <w:overflowPunct w:val="0"/>
        <w:spacing w:line="600" w:lineRule="exact"/>
        <w:ind w:firstLineChars="200" w:firstLine="640"/>
        <w:rPr>
          <w:rFonts w:eastAsia="FangSong_GB2312" w:cs="FangSong_GB2312" w:hint="eastAsia"/>
          <w:sz w:val="32"/>
          <w:szCs w:val="32"/>
        </w:rPr>
      </w:pPr>
      <w:r>
        <w:rPr>
          <w:rFonts w:eastAsia="FangSong_GB2312" w:cs="FangSong_GB2312" w:hint="eastAsia"/>
          <w:sz w:val="32"/>
          <w:szCs w:val="32"/>
        </w:rPr>
        <w:t>围绕服务业高端化、国际化发展需要，完善人才引进、培养、</w:t>
      </w:r>
      <w:r>
        <w:rPr>
          <w:rFonts w:eastAsia="FangSong_GB2312" w:cs="FangSong_GB2312" w:hint="eastAsia"/>
          <w:sz w:val="32"/>
          <w:szCs w:val="32"/>
        </w:rPr>
        <w:lastRenderedPageBreak/>
        <w:t>评价与激励机制。推动职业教育与服务业深度融合，支持校企共建实训基地，建设市域产教联合体、行业产教融合共同体。加强金融、数字</w:t>
      </w:r>
      <w:r>
        <w:rPr>
          <w:rFonts w:eastAsia="FangSong_GB2312" w:cs="FangSong_GB2312"/>
          <w:sz w:val="32"/>
          <w:szCs w:val="32"/>
        </w:rPr>
        <w:t>服务</w:t>
      </w:r>
      <w:r>
        <w:rPr>
          <w:rFonts w:eastAsia="FangSong_GB2312" w:cs="FangSong_GB2312" w:hint="eastAsia"/>
          <w:sz w:val="32"/>
          <w:szCs w:val="32"/>
        </w:rPr>
        <w:t>、康养旅游等重点行业专业人才培训，建设高水平服务业人才队伍。</w:t>
      </w:r>
    </w:p>
    <w:p w14:paraId="08DDED60"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214" w:name="_Toc546"/>
      <w:bookmarkStart w:id="215" w:name="_Toc17509"/>
      <w:bookmarkStart w:id="216" w:name="_Toc26713"/>
      <w:bookmarkStart w:id="217" w:name="_Toc1341"/>
      <w:bookmarkStart w:id="218" w:name="_Toc9169"/>
      <w:bookmarkStart w:id="219" w:name="_Toc30762"/>
      <w:bookmarkStart w:id="220" w:name="_Toc14863"/>
      <w:bookmarkStart w:id="221" w:name="_Toc7388"/>
      <w:bookmarkStart w:id="222" w:name="_Toc18233"/>
      <w:bookmarkStart w:id="223" w:name="_Toc626"/>
      <w:bookmarkStart w:id="224" w:name="_Toc26813"/>
      <w:bookmarkStart w:id="225" w:name="_Toc9003"/>
      <w:bookmarkStart w:id="226" w:name="_Toc5082"/>
      <w:bookmarkStart w:id="227" w:name="_Toc32214"/>
      <w:r>
        <w:rPr>
          <w:rFonts w:eastAsia="KaiTi_GB2312" w:cs="KaiTi_GB2312" w:hint="eastAsia"/>
          <w:sz w:val="32"/>
          <w:szCs w:val="32"/>
        </w:rPr>
        <w:t>（四）</w:t>
      </w:r>
      <w:bookmarkEnd w:id="214"/>
      <w:bookmarkEnd w:id="217"/>
      <w:bookmarkEnd w:id="218"/>
      <w:bookmarkEnd w:id="219"/>
      <w:bookmarkEnd w:id="220"/>
      <w:bookmarkEnd w:id="221"/>
      <w:bookmarkEnd w:id="222"/>
      <w:bookmarkEnd w:id="223"/>
      <w:bookmarkEnd w:id="224"/>
      <w:bookmarkEnd w:id="225"/>
      <w:bookmarkEnd w:id="226"/>
      <w:bookmarkEnd w:id="227"/>
      <w:r>
        <w:rPr>
          <w:rFonts w:eastAsia="KaiTi_GB2312" w:cs="KaiTi_GB2312" w:hint="eastAsia"/>
          <w:sz w:val="32"/>
          <w:szCs w:val="32"/>
        </w:rPr>
        <w:t>落实产业政策，激发服务业市场活力</w:t>
      </w:r>
      <w:bookmarkEnd w:id="215"/>
      <w:bookmarkEnd w:id="216"/>
      <w:r>
        <w:rPr>
          <w:rFonts w:eastAsia="KaiTi_GB2312" w:cs="KaiTi_GB2312" w:hint="eastAsia"/>
          <w:sz w:val="32"/>
          <w:szCs w:val="32"/>
        </w:rPr>
        <w:t>。</w:t>
      </w:r>
    </w:p>
    <w:p w14:paraId="44E82C0E" w14:textId="77777777" w:rsidR="00000000" w:rsidRDefault="00000000">
      <w:pPr>
        <w:overflowPunct w:val="0"/>
        <w:spacing w:line="600" w:lineRule="exact"/>
        <w:ind w:firstLineChars="200" w:firstLine="640"/>
        <w:rPr>
          <w:rFonts w:eastAsia="FangSong_GB2312" w:cs="FangSong_GB2312" w:hint="eastAsia"/>
          <w:sz w:val="32"/>
          <w:szCs w:val="32"/>
        </w:rPr>
      </w:pPr>
      <w:r>
        <w:rPr>
          <w:rFonts w:eastAsia="FangSong_GB2312" w:cs="FangSong_GB2312" w:hint="eastAsia"/>
          <w:sz w:val="32"/>
          <w:szCs w:val="32"/>
        </w:rPr>
        <w:t>用足用好自贸港税收优惠政策，重点支持现代物流、信息技术、会展商务、文化创意等服务业领域。加强政策宣传</w:t>
      </w:r>
      <w:r>
        <w:rPr>
          <w:rFonts w:eastAsia="FangSong_GB2312" w:cs="FangSong_GB2312"/>
          <w:sz w:val="32"/>
          <w:szCs w:val="32"/>
        </w:rPr>
        <w:t>和</w:t>
      </w:r>
      <w:r>
        <w:rPr>
          <w:rFonts w:eastAsia="FangSong_GB2312" w:cs="FangSong_GB2312" w:hint="eastAsia"/>
          <w:sz w:val="32"/>
          <w:szCs w:val="32"/>
        </w:rPr>
        <w:t>精准推送，优化纳税服务，切实降低服务业企业制度性成本，提升企业获得感与发展信心。</w:t>
      </w:r>
    </w:p>
    <w:p w14:paraId="19EEE70F" w14:textId="77777777" w:rsidR="00000000" w:rsidRDefault="00000000">
      <w:pPr>
        <w:overflowPunct w:val="0"/>
        <w:spacing w:line="600" w:lineRule="exact"/>
        <w:ind w:firstLineChars="200" w:firstLine="640"/>
        <w:outlineLvl w:val="1"/>
        <w:rPr>
          <w:rFonts w:eastAsia="KaiTi_GB2312" w:cs="KaiTi_GB2312" w:hint="eastAsia"/>
          <w:sz w:val="32"/>
          <w:szCs w:val="32"/>
        </w:rPr>
      </w:pPr>
      <w:bookmarkStart w:id="228" w:name="_Toc28219"/>
      <w:bookmarkStart w:id="229" w:name="_Toc15228"/>
      <w:bookmarkStart w:id="230" w:name="_Toc23059"/>
      <w:bookmarkStart w:id="231" w:name="_Toc19236"/>
      <w:bookmarkStart w:id="232" w:name="_Toc32295"/>
      <w:bookmarkStart w:id="233" w:name="_Toc18663"/>
      <w:bookmarkStart w:id="234" w:name="_Toc21958"/>
      <w:bookmarkStart w:id="235" w:name="_Toc4340"/>
      <w:bookmarkStart w:id="236" w:name="_Toc2900"/>
      <w:bookmarkStart w:id="237" w:name="_Toc25823"/>
      <w:bookmarkStart w:id="238" w:name="_Toc10767"/>
      <w:bookmarkStart w:id="239" w:name="_Toc1594"/>
      <w:bookmarkStart w:id="240" w:name="_Toc18067"/>
      <w:bookmarkStart w:id="241" w:name="_Toc5128"/>
      <w:r>
        <w:rPr>
          <w:rFonts w:eastAsia="KaiTi_GB2312" w:cs="KaiTi_GB2312" w:hint="eastAsia"/>
          <w:sz w:val="32"/>
          <w:szCs w:val="32"/>
        </w:rPr>
        <w:t>（五）</w:t>
      </w:r>
      <w:bookmarkEnd w:id="230"/>
      <w:bookmarkEnd w:id="231"/>
      <w:bookmarkEnd w:id="232"/>
      <w:bookmarkEnd w:id="233"/>
      <w:bookmarkEnd w:id="234"/>
      <w:bookmarkEnd w:id="235"/>
      <w:bookmarkEnd w:id="236"/>
      <w:bookmarkEnd w:id="237"/>
      <w:bookmarkEnd w:id="238"/>
      <w:bookmarkEnd w:id="239"/>
      <w:bookmarkEnd w:id="240"/>
      <w:bookmarkEnd w:id="241"/>
      <w:r>
        <w:rPr>
          <w:rFonts w:eastAsia="KaiTi_GB2312" w:cs="KaiTi_GB2312" w:hint="eastAsia"/>
          <w:sz w:val="32"/>
          <w:szCs w:val="32"/>
        </w:rPr>
        <w:t>创新金融服务，增强服务业资金保障</w:t>
      </w:r>
      <w:bookmarkEnd w:id="228"/>
      <w:bookmarkEnd w:id="229"/>
      <w:r>
        <w:rPr>
          <w:rFonts w:eastAsia="KaiTi_GB2312" w:cs="KaiTi_GB2312" w:hint="eastAsia"/>
          <w:sz w:val="32"/>
          <w:szCs w:val="32"/>
        </w:rPr>
        <w:t>。</w:t>
      </w:r>
    </w:p>
    <w:p w14:paraId="7D22F958" w14:textId="77777777" w:rsidR="00541933" w:rsidRDefault="00000000">
      <w:pPr>
        <w:overflowPunct w:val="0"/>
        <w:spacing w:line="600" w:lineRule="exact"/>
        <w:ind w:firstLineChars="200" w:firstLine="640"/>
        <w:rPr>
          <w:rFonts w:cs="Times New Roman"/>
          <w:sz w:val="32"/>
          <w:szCs w:val="32"/>
        </w:rPr>
      </w:pPr>
      <w:r>
        <w:rPr>
          <w:rFonts w:eastAsia="FangSong_GB2312" w:cs="FangSong_GB2312" w:hint="eastAsia"/>
          <w:sz w:val="32"/>
          <w:szCs w:val="32"/>
        </w:rPr>
        <w:t>引导金融机构加大对服务业特别是中小微企业、新业态新模式支持力度，开发适应服务业特点的信贷、保险、担保产品。发挥政府性融资担保机构作用，建立供应链金融风险共担机制。拓宽直接融资渠道，支持符合条件的服务业企业上市、发债。鼓励社会资本参与服务业基础设施建设与运营。</w:t>
      </w:r>
    </w:p>
    <w:sectPr w:rsidR="00541933">
      <w:footerReference w:type="default" r:id="rId9"/>
      <w:pgSz w:w="11906" w:h="16838"/>
      <w:pgMar w:top="1928" w:right="1531" w:bottom="1701" w:left="1531" w:header="0" w:footer="1247"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3550" w14:textId="77777777" w:rsidR="00541933" w:rsidRDefault="00541933">
      <w:r>
        <w:separator/>
      </w:r>
    </w:p>
  </w:endnote>
  <w:endnote w:type="continuationSeparator" w:id="0">
    <w:p w14:paraId="0AB6C03F" w14:textId="77777777" w:rsidR="00541933" w:rsidRDefault="0054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FangSong_GB2312">
    <w:altName w:val="Microsoft YaHei"/>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仿宋_GBK">
    <w:charset w:val="86"/>
    <w:family w:val="auto"/>
    <w:pitch w:val="default"/>
    <w:sig w:usb0="00000001" w:usb1="08000000" w:usb2="00000000" w:usb3="00000000" w:csb0="00040000"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方正小标宋_GBK">
    <w:altName w:val="Microsoft YaHei"/>
    <w:charset w:val="86"/>
    <w:family w:val="script"/>
    <w:pitch w:val="default"/>
    <w:sig w:usb0="00000001" w:usb1="08000000" w:usb2="00000000" w:usb3="00000000" w:csb0="00040000" w:csb1="00000000"/>
  </w:font>
  <w:font w:name="KaiTi_GB2312">
    <w:altName w:val="Microsoft YaHei"/>
    <w:charset w:val="86"/>
    <w:family w:val="auto"/>
    <w:pitch w:val="default"/>
    <w:sig w:usb0="00000001" w:usb1="080E0000" w:usb2="00000000" w:usb3="00000000" w:csb0="00040000" w:csb1="00000000"/>
  </w:font>
  <w:font w:name="KaiTi">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6FB9" w14:textId="77777777" w:rsidR="00000000" w:rsidRDefault="00000000">
    <w:pPr>
      <w:pStyle w:val="Footer"/>
      <w:jc w:val="center"/>
      <w:rPr>
        <w:rFonts w:ascii="SimSun" w:hAnsi="SimSun"/>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A81F" w14:textId="77777777" w:rsidR="00000000" w:rsidRDefault="0000000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C546" w14:textId="47E80E40" w:rsidR="00000000" w:rsidRDefault="00245AB2">
    <w:pPr>
      <w:pStyle w:val="Footer"/>
    </w:pPr>
    <w:r>
      <w:rPr>
        <w:noProof/>
      </w:rPr>
      <mc:AlternateContent>
        <mc:Choice Requires="wps">
          <w:drawing>
            <wp:anchor distT="0" distB="0" distL="114300" distR="114300" simplePos="0" relativeHeight="251657216" behindDoc="0" locked="0" layoutInCell="1" allowOverlap="1" wp14:anchorId="52B4CA9A" wp14:editId="05C3E9AC">
              <wp:simplePos x="0" y="0"/>
              <wp:positionH relativeFrom="margin">
                <wp:align>outside</wp:align>
              </wp:positionH>
              <wp:positionV relativeFrom="paragraph">
                <wp:posOffset>0</wp:posOffset>
              </wp:positionV>
              <wp:extent cx="445135" cy="230505"/>
              <wp:effectExtent l="0" t="0" r="0" b="0"/>
              <wp:wrapNone/>
              <wp:docPr id="1919637833" name="文本框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D953E9" w14:textId="77777777" w:rsidR="00000000" w:rsidRDefault="00000000">
                          <w:pPr>
                            <w:pStyle w:val="Footer"/>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- 1 -</w:t>
                          </w:r>
                          <w:r>
                            <w:rPr>
                              <w:rFonts w:ascii="SimSun" w:hAnsi="SimSun" w:cs="SimSun" w:hint="eastAsia"/>
                              <w:sz w:val="28"/>
                              <w:szCs w:val="28"/>
                            </w:rPr>
                            <w:fldChar w:fldCharType="end"/>
                          </w:r>
                          <w:r>
                            <w:rPr>
                              <w:rFonts w:ascii="SimSun" w:hAnsi="SimSun" w:cs="SimSun"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B4CA9A" id="_x0000_t202" coordsize="21600,21600" o:spt="202" path="m,l,21600r21600,l21600,xe">
              <v:stroke joinstyle="miter"/>
              <v:path gradientshapeok="t" o:connecttype="rect"/>
            </v:shapetype>
            <v:shape id="文本框 1036" o:spid="_x0000_s1026" type="#_x0000_t202" style="position:absolute;margin-left:-16.15pt;margin-top:0;width:35.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" filled="f" stroked="f" strokeweight=".5pt">
              <v:textbox style="mso-fit-shape-to-text:t" inset="0,0,0,0">
                <w:txbxContent>
                  <w:p w14:paraId="6CD953E9" w14:textId="77777777" w:rsidR="00000000" w:rsidRDefault="00000000">
                    <w:pPr>
                      <w:pStyle w:val="Footer"/>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- 1 -</w:t>
                    </w:r>
                    <w:r>
                      <w:rPr>
                        <w:rFonts w:ascii="SimSun" w:hAnsi="SimSun" w:cs="SimSun" w:hint="eastAsia"/>
                        <w:sz w:val="28"/>
                        <w:szCs w:val="28"/>
                      </w:rPr>
                      <w:fldChar w:fldCharType="end"/>
                    </w:r>
                    <w:r>
                      <w:rPr>
                        <w:rFonts w:ascii="SimSun" w:hAnsi="SimSun" w:cs="SimSun" w:hint="eastAsia"/>
                        <w:sz w:val="28"/>
                        <w:szCs w:val="28"/>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0C54" w14:textId="6839E271" w:rsidR="00000000" w:rsidRDefault="00245AB2">
    <w:pPr>
      <w:pStyle w:val="Footer"/>
      <w:jc w:val="center"/>
      <w:rPr>
        <w:rFonts w:ascii="SimSun" w:hAnsi="SimSun" w:hint="eastAsia"/>
        <w:sz w:val="28"/>
        <w:szCs w:val="28"/>
      </w:rPr>
    </w:pPr>
    <w:r>
      <w:rPr>
        <w:noProof/>
        <w:sz w:val="28"/>
      </w:rPr>
      <mc:AlternateContent>
        <mc:Choice Requires="wps">
          <w:drawing>
            <wp:anchor distT="0" distB="0" distL="114300" distR="114300" simplePos="0" relativeHeight="251658240" behindDoc="0" locked="0" layoutInCell="1" allowOverlap="1" wp14:anchorId="7CCD58EC" wp14:editId="46593B04">
              <wp:simplePos x="0" y="0"/>
              <wp:positionH relativeFrom="margin">
                <wp:align>outside</wp:align>
              </wp:positionH>
              <wp:positionV relativeFrom="page">
                <wp:posOffset>9791700</wp:posOffset>
              </wp:positionV>
              <wp:extent cx="445135" cy="230505"/>
              <wp:effectExtent l="0" t="0" r="0" b="0"/>
              <wp:wrapNone/>
              <wp:docPr id="857718913" name="文本框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8E0B56" w14:textId="77777777" w:rsidR="00000000" w:rsidRDefault="00000000">
                          <w:pPr>
                            <w:pStyle w:val="Footer"/>
                            <w:jc w:val="center"/>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- 1 -</w:t>
                          </w:r>
                          <w:r>
                            <w:rPr>
                              <w:rFonts w:ascii="SimSun" w:hAnsi="SimSun" w:cs="SimSun" w:hint="eastAsia"/>
                              <w:sz w:val="28"/>
                              <w:szCs w:val="28"/>
                            </w:rPr>
                            <w:fldChar w:fldCharType="end"/>
                          </w:r>
                          <w:r>
                            <w:rPr>
                              <w:rFonts w:ascii="SimSun" w:hAnsi="SimSun" w:cs="SimSun"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CD58EC" id="_x0000_t202" coordsize="21600,21600" o:spt="202" path="m,l,21600r21600,l21600,xe">
              <v:stroke joinstyle="miter"/>
              <v:path gradientshapeok="t" o:connecttype="rect"/>
            </v:shapetype>
            <v:shape id="文本框 1032" o:spid="_x0000_s1027" type="#_x0000_t202" style="position:absolute;left:0;text-align:left;margin-left:-16.15pt;margin-top:771pt;width:35.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" filled="f" stroked="f">
              <v:textbox style="mso-fit-shape-to-text:t" inset="0,0,0,0">
                <w:txbxContent>
                  <w:p w14:paraId="6D8E0B56" w14:textId="77777777" w:rsidR="00000000" w:rsidRDefault="00000000">
                    <w:pPr>
                      <w:pStyle w:val="Footer"/>
                      <w:jc w:val="center"/>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- 1 -</w:t>
                    </w:r>
                    <w:r>
                      <w:rPr>
                        <w:rFonts w:ascii="SimSun" w:hAnsi="SimSun" w:cs="SimSun" w:hint="eastAsia"/>
                        <w:sz w:val="28"/>
                        <w:szCs w:val="28"/>
                      </w:rPr>
                      <w:fldChar w:fldCharType="end"/>
                    </w:r>
                    <w:r>
                      <w:rPr>
                        <w:rFonts w:ascii="SimSun" w:hAnsi="SimSun" w:cs="SimSun" w:hint="eastAsia"/>
                        <w:sz w:val="28"/>
                        <w:szCs w:val="28"/>
                      </w:rPr>
                      <w:t xml:space="preserve"> -</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0892" w14:textId="77777777" w:rsidR="00541933" w:rsidRDefault="00541933">
      <w:r>
        <w:separator/>
      </w:r>
    </w:p>
  </w:footnote>
  <w:footnote w:type="continuationSeparator" w:id="0">
    <w:p w14:paraId="68A9B879" w14:textId="77777777" w:rsidR="00541933" w:rsidRDefault="00541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Q4ZDUyYTRlYTZjMmI3Mzg5NGI0MWYyYWY4NTdhN2QifQ=="/>
  </w:docVars>
  <w:rsids>
    <w:rsidRoot w:val="00187280"/>
    <w:rsid w:val="000228D3"/>
    <w:rsid w:val="0002510E"/>
    <w:rsid w:val="0007181E"/>
    <w:rsid w:val="000773AA"/>
    <w:rsid w:val="00091901"/>
    <w:rsid w:val="0009230E"/>
    <w:rsid w:val="000A42AC"/>
    <w:rsid w:val="000C2420"/>
    <w:rsid w:val="000D74B9"/>
    <w:rsid w:val="000E7CD7"/>
    <w:rsid w:val="001063CF"/>
    <w:rsid w:val="00187280"/>
    <w:rsid w:val="0019288A"/>
    <w:rsid w:val="00197E53"/>
    <w:rsid w:val="001B5C17"/>
    <w:rsid w:val="001E6DFF"/>
    <w:rsid w:val="001F0A94"/>
    <w:rsid w:val="001F3066"/>
    <w:rsid w:val="00245AB2"/>
    <w:rsid w:val="00271B87"/>
    <w:rsid w:val="00276289"/>
    <w:rsid w:val="002B61A3"/>
    <w:rsid w:val="003341C3"/>
    <w:rsid w:val="00383F9D"/>
    <w:rsid w:val="00395122"/>
    <w:rsid w:val="003A0303"/>
    <w:rsid w:val="003D326E"/>
    <w:rsid w:val="003E7C9D"/>
    <w:rsid w:val="003F4BED"/>
    <w:rsid w:val="00477385"/>
    <w:rsid w:val="00490DE4"/>
    <w:rsid w:val="00494AC0"/>
    <w:rsid w:val="004C33BF"/>
    <w:rsid w:val="004D4ED2"/>
    <w:rsid w:val="0050288A"/>
    <w:rsid w:val="00514F05"/>
    <w:rsid w:val="00541933"/>
    <w:rsid w:val="005900D4"/>
    <w:rsid w:val="00590C94"/>
    <w:rsid w:val="005B5D96"/>
    <w:rsid w:val="00632FC6"/>
    <w:rsid w:val="00647184"/>
    <w:rsid w:val="00672F1D"/>
    <w:rsid w:val="00685315"/>
    <w:rsid w:val="006B6783"/>
    <w:rsid w:val="0072395E"/>
    <w:rsid w:val="007668D1"/>
    <w:rsid w:val="00766EFC"/>
    <w:rsid w:val="007B5634"/>
    <w:rsid w:val="007D3BE1"/>
    <w:rsid w:val="007F0458"/>
    <w:rsid w:val="00801AFE"/>
    <w:rsid w:val="00806C1B"/>
    <w:rsid w:val="008143AC"/>
    <w:rsid w:val="00836012"/>
    <w:rsid w:val="00851B6D"/>
    <w:rsid w:val="008647BB"/>
    <w:rsid w:val="008754B0"/>
    <w:rsid w:val="0088431C"/>
    <w:rsid w:val="008F6405"/>
    <w:rsid w:val="00901E43"/>
    <w:rsid w:val="0091714B"/>
    <w:rsid w:val="009446E5"/>
    <w:rsid w:val="00962B30"/>
    <w:rsid w:val="009661D8"/>
    <w:rsid w:val="009A6E61"/>
    <w:rsid w:val="009B08A6"/>
    <w:rsid w:val="009C2496"/>
    <w:rsid w:val="009D06E2"/>
    <w:rsid w:val="00A15093"/>
    <w:rsid w:val="00A9032E"/>
    <w:rsid w:val="00A95378"/>
    <w:rsid w:val="00AA7CA5"/>
    <w:rsid w:val="00AE1F94"/>
    <w:rsid w:val="00B07986"/>
    <w:rsid w:val="00B13375"/>
    <w:rsid w:val="00B578D2"/>
    <w:rsid w:val="00B9045A"/>
    <w:rsid w:val="00B94A1C"/>
    <w:rsid w:val="00BA7E40"/>
    <w:rsid w:val="00BC42DE"/>
    <w:rsid w:val="00BD05DC"/>
    <w:rsid w:val="00BD6073"/>
    <w:rsid w:val="00C71A2F"/>
    <w:rsid w:val="00C71C3C"/>
    <w:rsid w:val="00CD21C3"/>
    <w:rsid w:val="00D5784F"/>
    <w:rsid w:val="00D86174"/>
    <w:rsid w:val="00DA2E40"/>
    <w:rsid w:val="00DD29CE"/>
    <w:rsid w:val="00DD351B"/>
    <w:rsid w:val="00DF6B66"/>
    <w:rsid w:val="00E169C8"/>
    <w:rsid w:val="00E542E6"/>
    <w:rsid w:val="00E771CC"/>
    <w:rsid w:val="00EA1A2F"/>
    <w:rsid w:val="00EB0A4E"/>
    <w:rsid w:val="00F3274B"/>
    <w:rsid w:val="00F52E3C"/>
    <w:rsid w:val="00F667BA"/>
    <w:rsid w:val="00F87B88"/>
    <w:rsid w:val="00FA2D23"/>
    <w:rsid w:val="00FA3598"/>
    <w:rsid w:val="00FC766D"/>
    <w:rsid w:val="01A2580D"/>
    <w:rsid w:val="03056101"/>
    <w:rsid w:val="044F4F59"/>
    <w:rsid w:val="04BC45A6"/>
    <w:rsid w:val="04C9495C"/>
    <w:rsid w:val="05283431"/>
    <w:rsid w:val="055152C1"/>
    <w:rsid w:val="055C560D"/>
    <w:rsid w:val="060F45F1"/>
    <w:rsid w:val="06C94440"/>
    <w:rsid w:val="08684C4F"/>
    <w:rsid w:val="093700E7"/>
    <w:rsid w:val="09960B95"/>
    <w:rsid w:val="09AB34B5"/>
    <w:rsid w:val="0A2E4224"/>
    <w:rsid w:val="0A9E2B30"/>
    <w:rsid w:val="0AB34A33"/>
    <w:rsid w:val="0AFA761E"/>
    <w:rsid w:val="0B0A4D29"/>
    <w:rsid w:val="0BAA0EE8"/>
    <w:rsid w:val="0C634F90"/>
    <w:rsid w:val="0C7463C0"/>
    <w:rsid w:val="0CEF2A86"/>
    <w:rsid w:val="0DD612D7"/>
    <w:rsid w:val="0E014D9F"/>
    <w:rsid w:val="0E2D6995"/>
    <w:rsid w:val="0E422F5F"/>
    <w:rsid w:val="0EBD58A0"/>
    <w:rsid w:val="0ED604C7"/>
    <w:rsid w:val="0F0C431A"/>
    <w:rsid w:val="0F58070F"/>
    <w:rsid w:val="10285A89"/>
    <w:rsid w:val="10F051DF"/>
    <w:rsid w:val="113373E5"/>
    <w:rsid w:val="11522378"/>
    <w:rsid w:val="12161874"/>
    <w:rsid w:val="1254371D"/>
    <w:rsid w:val="12EE5303"/>
    <w:rsid w:val="12F25DFE"/>
    <w:rsid w:val="132309CB"/>
    <w:rsid w:val="1366480D"/>
    <w:rsid w:val="13FB738E"/>
    <w:rsid w:val="141401BE"/>
    <w:rsid w:val="14535FF1"/>
    <w:rsid w:val="14735965"/>
    <w:rsid w:val="15DE3357"/>
    <w:rsid w:val="16B40FC8"/>
    <w:rsid w:val="17457ECD"/>
    <w:rsid w:val="17524232"/>
    <w:rsid w:val="175B6524"/>
    <w:rsid w:val="17BECDE9"/>
    <w:rsid w:val="17F27FA9"/>
    <w:rsid w:val="18FA6A3B"/>
    <w:rsid w:val="19B54FD6"/>
    <w:rsid w:val="19EF3D15"/>
    <w:rsid w:val="1A3E173F"/>
    <w:rsid w:val="1B877EE5"/>
    <w:rsid w:val="1BAB226E"/>
    <w:rsid w:val="1C945413"/>
    <w:rsid w:val="1CB304A3"/>
    <w:rsid w:val="1CBF2405"/>
    <w:rsid w:val="1D6FAF8D"/>
    <w:rsid w:val="1F2DDE4F"/>
    <w:rsid w:val="1F7FCCA5"/>
    <w:rsid w:val="1FBF1A01"/>
    <w:rsid w:val="1FEC137C"/>
    <w:rsid w:val="1FFFF172"/>
    <w:rsid w:val="203759C1"/>
    <w:rsid w:val="20817A88"/>
    <w:rsid w:val="21026F8C"/>
    <w:rsid w:val="2162482F"/>
    <w:rsid w:val="237577CA"/>
    <w:rsid w:val="239C620F"/>
    <w:rsid w:val="23C87007"/>
    <w:rsid w:val="24D110E1"/>
    <w:rsid w:val="25FF840E"/>
    <w:rsid w:val="26E710B9"/>
    <w:rsid w:val="26FE6424"/>
    <w:rsid w:val="29AB7613"/>
    <w:rsid w:val="29E51041"/>
    <w:rsid w:val="29E7008E"/>
    <w:rsid w:val="2A0911D4"/>
    <w:rsid w:val="2AA87FC0"/>
    <w:rsid w:val="2AE6738D"/>
    <w:rsid w:val="2AFF1E54"/>
    <w:rsid w:val="2B4B0F80"/>
    <w:rsid w:val="2B7D1DEB"/>
    <w:rsid w:val="2B7D9312"/>
    <w:rsid w:val="2BBF2D7D"/>
    <w:rsid w:val="2BFF0BE2"/>
    <w:rsid w:val="2C0A1943"/>
    <w:rsid w:val="2C8D504F"/>
    <w:rsid w:val="2D0A61FD"/>
    <w:rsid w:val="2D142CCA"/>
    <w:rsid w:val="2DFFA2D6"/>
    <w:rsid w:val="2E6D5543"/>
    <w:rsid w:val="2F593B54"/>
    <w:rsid w:val="2F78282B"/>
    <w:rsid w:val="2FDEC3B9"/>
    <w:rsid w:val="2FE783F7"/>
    <w:rsid w:val="2FFF0AC0"/>
    <w:rsid w:val="301C4C07"/>
    <w:rsid w:val="31F32D11"/>
    <w:rsid w:val="31F575DA"/>
    <w:rsid w:val="321D4C3A"/>
    <w:rsid w:val="32B2293B"/>
    <w:rsid w:val="32CEDD34"/>
    <w:rsid w:val="33785318"/>
    <w:rsid w:val="33FD13E1"/>
    <w:rsid w:val="33FD51E4"/>
    <w:rsid w:val="341C4194"/>
    <w:rsid w:val="34B306BA"/>
    <w:rsid w:val="358932D1"/>
    <w:rsid w:val="35CD7559"/>
    <w:rsid w:val="35F25212"/>
    <w:rsid w:val="36BFB980"/>
    <w:rsid w:val="37585B7D"/>
    <w:rsid w:val="37BC8A2F"/>
    <w:rsid w:val="37DC1209"/>
    <w:rsid w:val="37DC6E3D"/>
    <w:rsid w:val="37EF8EDB"/>
    <w:rsid w:val="37F229BA"/>
    <w:rsid w:val="37FBEC6F"/>
    <w:rsid w:val="37FE4939"/>
    <w:rsid w:val="385B52F0"/>
    <w:rsid w:val="38647F92"/>
    <w:rsid w:val="388C0398"/>
    <w:rsid w:val="399E149E"/>
    <w:rsid w:val="39FE2277"/>
    <w:rsid w:val="3A8221F6"/>
    <w:rsid w:val="3ACBCCC5"/>
    <w:rsid w:val="3AD46C94"/>
    <w:rsid w:val="3AE315B0"/>
    <w:rsid w:val="3AEB18A5"/>
    <w:rsid w:val="3BD73C46"/>
    <w:rsid w:val="3BECE943"/>
    <w:rsid w:val="3BFB74F9"/>
    <w:rsid w:val="3CF74EB5"/>
    <w:rsid w:val="3CF7F85D"/>
    <w:rsid w:val="3D3E7E89"/>
    <w:rsid w:val="3DDCDFEA"/>
    <w:rsid w:val="3DE8C236"/>
    <w:rsid w:val="3DFF4855"/>
    <w:rsid w:val="3E1D4DF6"/>
    <w:rsid w:val="3E1D56D1"/>
    <w:rsid w:val="3E2F7C9D"/>
    <w:rsid w:val="3EE2B700"/>
    <w:rsid w:val="3EEFB08F"/>
    <w:rsid w:val="3EFBA607"/>
    <w:rsid w:val="3EFF3582"/>
    <w:rsid w:val="3F304187"/>
    <w:rsid w:val="3F6A4DD6"/>
    <w:rsid w:val="3FB7B705"/>
    <w:rsid w:val="3FBF3E45"/>
    <w:rsid w:val="3FD70FAC"/>
    <w:rsid w:val="3FDB38F9"/>
    <w:rsid w:val="3FEE2C66"/>
    <w:rsid w:val="3FF63FAE"/>
    <w:rsid w:val="3FF8868E"/>
    <w:rsid w:val="3FF8AD0B"/>
    <w:rsid w:val="3FFBE426"/>
    <w:rsid w:val="3FFD80F8"/>
    <w:rsid w:val="3FFFB029"/>
    <w:rsid w:val="400147EC"/>
    <w:rsid w:val="40101960"/>
    <w:rsid w:val="40592352"/>
    <w:rsid w:val="40F23DFA"/>
    <w:rsid w:val="41CE2C59"/>
    <w:rsid w:val="41EE675F"/>
    <w:rsid w:val="41F615EC"/>
    <w:rsid w:val="42376048"/>
    <w:rsid w:val="42737940"/>
    <w:rsid w:val="43DAF3A3"/>
    <w:rsid w:val="445C09D8"/>
    <w:rsid w:val="44846FEE"/>
    <w:rsid w:val="464940F6"/>
    <w:rsid w:val="4662380F"/>
    <w:rsid w:val="469FB2EB"/>
    <w:rsid w:val="46B579E9"/>
    <w:rsid w:val="46DB13AA"/>
    <w:rsid w:val="473C39F9"/>
    <w:rsid w:val="479F9B20"/>
    <w:rsid w:val="47BB0D3E"/>
    <w:rsid w:val="48255D58"/>
    <w:rsid w:val="487B1097"/>
    <w:rsid w:val="494F5E10"/>
    <w:rsid w:val="49F64FA2"/>
    <w:rsid w:val="49FF983C"/>
    <w:rsid w:val="4A1E0553"/>
    <w:rsid w:val="4ADA7B91"/>
    <w:rsid w:val="4B6C4948"/>
    <w:rsid w:val="4BB354D5"/>
    <w:rsid w:val="4CF66DF5"/>
    <w:rsid w:val="4DA96288"/>
    <w:rsid w:val="4E524648"/>
    <w:rsid w:val="4E57F16B"/>
    <w:rsid w:val="4E9E4350"/>
    <w:rsid w:val="4EDFED9F"/>
    <w:rsid w:val="4EE14D9C"/>
    <w:rsid w:val="4F2A5BC7"/>
    <w:rsid w:val="4F47782E"/>
    <w:rsid w:val="4FFE3C6A"/>
    <w:rsid w:val="4FFF2166"/>
    <w:rsid w:val="4FFF4A1B"/>
    <w:rsid w:val="50BF5068"/>
    <w:rsid w:val="50DC04D0"/>
    <w:rsid w:val="51002E27"/>
    <w:rsid w:val="51BB7E5E"/>
    <w:rsid w:val="51F91E6D"/>
    <w:rsid w:val="525633C3"/>
    <w:rsid w:val="54A5757B"/>
    <w:rsid w:val="558F64D2"/>
    <w:rsid w:val="55DAA9AC"/>
    <w:rsid w:val="561522DB"/>
    <w:rsid w:val="56301AB1"/>
    <w:rsid w:val="5645161A"/>
    <w:rsid w:val="56F531AD"/>
    <w:rsid w:val="573FE280"/>
    <w:rsid w:val="577E200A"/>
    <w:rsid w:val="580D7ADE"/>
    <w:rsid w:val="58583540"/>
    <w:rsid w:val="5905600F"/>
    <w:rsid w:val="598223A1"/>
    <w:rsid w:val="59C1ED59"/>
    <w:rsid w:val="59EB35C2"/>
    <w:rsid w:val="5ABA4D52"/>
    <w:rsid w:val="5B5753AC"/>
    <w:rsid w:val="5B88609D"/>
    <w:rsid w:val="5BA54009"/>
    <w:rsid w:val="5BEA5EBF"/>
    <w:rsid w:val="5BF6381A"/>
    <w:rsid w:val="5CDA4B57"/>
    <w:rsid w:val="5D5D0A92"/>
    <w:rsid w:val="5D7F1AD5"/>
    <w:rsid w:val="5DD10F21"/>
    <w:rsid w:val="5DDB45B2"/>
    <w:rsid w:val="5DFE4885"/>
    <w:rsid w:val="5DFEE8F9"/>
    <w:rsid w:val="5E7A1EB6"/>
    <w:rsid w:val="5EAFA382"/>
    <w:rsid w:val="5EDD71EA"/>
    <w:rsid w:val="5EDF2A69"/>
    <w:rsid w:val="5EFF71E2"/>
    <w:rsid w:val="5F391238"/>
    <w:rsid w:val="5F797C86"/>
    <w:rsid w:val="5FAC2C78"/>
    <w:rsid w:val="5FACBDF0"/>
    <w:rsid w:val="5FE76454"/>
    <w:rsid w:val="5FE8185D"/>
    <w:rsid w:val="5FEE39C0"/>
    <w:rsid w:val="5FFFA962"/>
    <w:rsid w:val="5FFFE214"/>
    <w:rsid w:val="60AF2F63"/>
    <w:rsid w:val="625369E0"/>
    <w:rsid w:val="62D02854"/>
    <w:rsid w:val="630A643D"/>
    <w:rsid w:val="638135AD"/>
    <w:rsid w:val="648672FC"/>
    <w:rsid w:val="648B67E0"/>
    <w:rsid w:val="64B11749"/>
    <w:rsid w:val="64B84FC6"/>
    <w:rsid w:val="64CA675F"/>
    <w:rsid w:val="65377372"/>
    <w:rsid w:val="657D1B52"/>
    <w:rsid w:val="65F7CFB2"/>
    <w:rsid w:val="66474E48"/>
    <w:rsid w:val="66884C53"/>
    <w:rsid w:val="66FB4360"/>
    <w:rsid w:val="674F8C75"/>
    <w:rsid w:val="677C03B8"/>
    <w:rsid w:val="677FE311"/>
    <w:rsid w:val="679B4A60"/>
    <w:rsid w:val="67BE9FAB"/>
    <w:rsid w:val="67E1345D"/>
    <w:rsid w:val="680B464A"/>
    <w:rsid w:val="68803E14"/>
    <w:rsid w:val="6946188F"/>
    <w:rsid w:val="69733331"/>
    <w:rsid w:val="69CA6499"/>
    <w:rsid w:val="69DC4282"/>
    <w:rsid w:val="6ABD67B8"/>
    <w:rsid w:val="6ABF301A"/>
    <w:rsid w:val="6B3F598A"/>
    <w:rsid w:val="6B589C6B"/>
    <w:rsid w:val="6B5F49A1"/>
    <w:rsid w:val="6B67B88F"/>
    <w:rsid w:val="6B814830"/>
    <w:rsid w:val="6B9B4260"/>
    <w:rsid w:val="6BBD5B1E"/>
    <w:rsid w:val="6BF6AE64"/>
    <w:rsid w:val="6D3515CF"/>
    <w:rsid w:val="6D3D7B69"/>
    <w:rsid w:val="6D5B6806"/>
    <w:rsid w:val="6D7EC287"/>
    <w:rsid w:val="6DA94157"/>
    <w:rsid w:val="6DAD83E7"/>
    <w:rsid w:val="6DF7748C"/>
    <w:rsid w:val="6E39473C"/>
    <w:rsid w:val="6E447823"/>
    <w:rsid w:val="6EA445F4"/>
    <w:rsid w:val="6EB7369C"/>
    <w:rsid w:val="6EBFB41D"/>
    <w:rsid w:val="6ED36E74"/>
    <w:rsid w:val="6EF7E3C0"/>
    <w:rsid w:val="6F3CC3E0"/>
    <w:rsid w:val="6FA23874"/>
    <w:rsid w:val="6FCF96B7"/>
    <w:rsid w:val="706A1742"/>
    <w:rsid w:val="71D065E1"/>
    <w:rsid w:val="723039E4"/>
    <w:rsid w:val="72BB5CDA"/>
    <w:rsid w:val="72D134DE"/>
    <w:rsid w:val="735FB9C4"/>
    <w:rsid w:val="737B5116"/>
    <w:rsid w:val="73B72E45"/>
    <w:rsid w:val="73BBE05C"/>
    <w:rsid w:val="73EFA8C9"/>
    <w:rsid w:val="74AA69EE"/>
    <w:rsid w:val="74B66881"/>
    <w:rsid w:val="75303118"/>
    <w:rsid w:val="75795609"/>
    <w:rsid w:val="757BFB77"/>
    <w:rsid w:val="758D5DE2"/>
    <w:rsid w:val="75FF4DBD"/>
    <w:rsid w:val="761D5681"/>
    <w:rsid w:val="76BB9DBB"/>
    <w:rsid w:val="76C4424A"/>
    <w:rsid w:val="76DDBE7F"/>
    <w:rsid w:val="76FD1DE2"/>
    <w:rsid w:val="777EE32D"/>
    <w:rsid w:val="777F18B6"/>
    <w:rsid w:val="77866F8C"/>
    <w:rsid w:val="778FA2B5"/>
    <w:rsid w:val="77D0645A"/>
    <w:rsid w:val="77F8A24D"/>
    <w:rsid w:val="77FC0061"/>
    <w:rsid w:val="77FDD4B8"/>
    <w:rsid w:val="78F5046C"/>
    <w:rsid w:val="790E4195"/>
    <w:rsid w:val="792FEEA3"/>
    <w:rsid w:val="79672F6C"/>
    <w:rsid w:val="79DFB93A"/>
    <w:rsid w:val="79FDB740"/>
    <w:rsid w:val="79FE09BD"/>
    <w:rsid w:val="79FF8605"/>
    <w:rsid w:val="7A3354D9"/>
    <w:rsid w:val="7A37E7D0"/>
    <w:rsid w:val="7A77410B"/>
    <w:rsid w:val="7AA85F11"/>
    <w:rsid w:val="7AD515FB"/>
    <w:rsid w:val="7ADF1BC1"/>
    <w:rsid w:val="7B7508F4"/>
    <w:rsid w:val="7BBEA1E3"/>
    <w:rsid w:val="7BCB1412"/>
    <w:rsid w:val="7BEF75BD"/>
    <w:rsid w:val="7BFB5CB9"/>
    <w:rsid w:val="7BFF1DCC"/>
    <w:rsid w:val="7BFF8315"/>
    <w:rsid w:val="7C6FD46F"/>
    <w:rsid w:val="7CC6EC77"/>
    <w:rsid w:val="7CCD5E45"/>
    <w:rsid w:val="7CDE8446"/>
    <w:rsid w:val="7D3D508E"/>
    <w:rsid w:val="7D9C13FD"/>
    <w:rsid w:val="7DAE4B00"/>
    <w:rsid w:val="7DBE049E"/>
    <w:rsid w:val="7DD7329E"/>
    <w:rsid w:val="7DDB1252"/>
    <w:rsid w:val="7DDF1D1A"/>
    <w:rsid w:val="7DDF50DD"/>
    <w:rsid w:val="7DF570D0"/>
    <w:rsid w:val="7E503D08"/>
    <w:rsid w:val="7E54E258"/>
    <w:rsid w:val="7E5F89AE"/>
    <w:rsid w:val="7E6EC93A"/>
    <w:rsid w:val="7E990AC0"/>
    <w:rsid w:val="7EA010E5"/>
    <w:rsid w:val="7EC17C0D"/>
    <w:rsid w:val="7ECC917E"/>
    <w:rsid w:val="7ECF6BAF"/>
    <w:rsid w:val="7ED57AD9"/>
    <w:rsid w:val="7EDBA0B3"/>
    <w:rsid w:val="7EE728E1"/>
    <w:rsid w:val="7EEB116B"/>
    <w:rsid w:val="7EEEBED2"/>
    <w:rsid w:val="7EFF0D54"/>
    <w:rsid w:val="7F016EF9"/>
    <w:rsid w:val="7F1773E1"/>
    <w:rsid w:val="7F1C5AD9"/>
    <w:rsid w:val="7F36A545"/>
    <w:rsid w:val="7F3785E2"/>
    <w:rsid w:val="7F3F9B14"/>
    <w:rsid w:val="7F5AF40F"/>
    <w:rsid w:val="7F74A610"/>
    <w:rsid w:val="7F75EDA6"/>
    <w:rsid w:val="7F76B00F"/>
    <w:rsid w:val="7F9798E8"/>
    <w:rsid w:val="7FAA7598"/>
    <w:rsid w:val="7FB8D22D"/>
    <w:rsid w:val="7FBD425B"/>
    <w:rsid w:val="7FBE5D4E"/>
    <w:rsid w:val="7FBEFF2B"/>
    <w:rsid w:val="7FC8211E"/>
    <w:rsid w:val="7FCB30AD"/>
    <w:rsid w:val="7FCF0583"/>
    <w:rsid w:val="7FCFCB0C"/>
    <w:rsid w:val="7FD6A87A"/>
    <w:rsid w:val="7FDE5C68"/>
    <w:rsid w:val="7FDEBC0F"/>
    <w:rsid w:val="7FDF9A53"/>
    <w:rsid w:val="7FDFD127"/>
    <w:rsid w:val="7FE04DEF"/>
    <w:rsid w:val="7FE37833"/>
    <w:rsid w:val="7FEF1E81"/>
    <w:rsid w:val="7FEFCFC0"/>
    <w:rsid w:val="7FF60307"/>
    <w:rsid w:val="7FF942ED"/>
    <w:rsid w:val="7FFBEE52"/>
    <w:rsid w:val="7FFDFA64"/>
    <w:rsid w:val="7FFE2B33"/>
    <w:rsid w:val="7FFF1C6A"/>
    <w:rsid w:val="7FFF305F"/>
    <w:rsid w:val="7FFF3B00"/>
    <w:rsid w:val="7FFFF3F2"/>
    <w:rsid w:val="89E771A5"/>
    <w:rsid w:val="99BDD5A9"/>
    <w:rsid w:val="9DFD38D9"/>
    <w:rsid w:val="9FFF2B89"/>
    <w:rsid w:val="A5F7FF3B"/>
    <w:rsid w:val="A77F6027"/>
    <w:rsid w:val="A7EB6712"/>
    <w:rsid w:val="AAFF46F0"/>
    <w:rsid w:val="AC3E4BB7"/>
    <w:rsid w:val="ACB78B4F"/>
    <w:rsid w:val="AFFB36A2"/>
    <w:rsid w:val="AFFF3A71"/>
    <w:rsid w:val="B0D19B60"/>
    <w:rsid w:val="B0F8E243"/>
    <w:rsid w:val="B3DB9544"/>
    <w:rsid w:val="B77D889F"/>
    <w:rsid w:val="B7EF44A6"/>
    <w:rsid w:val="B7F66B64"/>
    <w:rsid w:val="B7F903CB"/>
    <w:rsid w:val="B7FA0FF5"/>
    <w:rsid w:val="B7FF9983"/>
    <w:rsid w:val="B9982DD1"/>
    <w:rsid w:val="B9EF3EAA"/>
    <w:rsid w:val="BAF97C4B"/>
    <w:rsid w:val="BB7BC77C"/>
    <w:rsid w:val="BBFEF59E"/>
    <w:rsid w:val="BC3F57B4"/>
    <w:rsid w:val="BC675AA7"/>
    <w:rsid w:val="BD7BE696"/>
    <w:rsid w:val="BDB9BEE9"/>
    <w:rsid w:val="BDEF017D"/>
    <w:rsid w:val="BE3EBE25"/>
    <w:rsid w:val="BEFD17D6"/>
    <w:rsid w:val="BF2D47AF"/>
    <w:rsid w:val="BF3BCC85"/>
    <w:rsid w:val="BF4F0BC9"/>
    <w:rsid w:val="BF7394A5"/>
    <w:rsid w:val="BF93F7DD"/>
    <w:rsid w:val="BF9DC2F1"/>
    <w:rsid w:val="BFDA18AB"/>
    <w:rsid w:val="BFDD388D"/>
    <w:rsid w:val="BFF42E51"/>
    <w:rsid w:val="BFF72E75"/>
    <w:rsid w:val="BFFB1B45"/>
    <w:rsid w:val="BFFED508"/>
    <w:rsid w:val="C3BDD7F8"/>
    <w:rsid w:val="C7D37596"/>
    <w:rsid w:val="C9BBE6D2"/>
    <w:rsid w:val="CBABA91D"/>
    <w:rsid w:val="CBF6B763"/>
    <w:rsid w:val="CDE7D3D6"/>
    <w:rsid w:val="CEBF2349"/>
    <w:rsid w:val="CEEF9338"/>
    <w:rsid w:val="CEFB7DC6"/>
    <w:rsid w:val="D33CD93A"/>
    <w:rsid w:val="D3F61706"/>
    <w:rsid w:val="D4DF8599"/>
    <w:rsid w:val="D5E67967"/>
    <w:rsid w:val="D5F67540"/>
    <w:rsid w:val="D5FD76BC"/>
    <w:rsid w:val="D73D1442"/>
    <w:rsid w:val="D7469850"/>
    <w:rsid w:val="D7FE5F8D"/>
    <w:rsid w:val="D9F563AD"/>
    <w:rsid w:val="DA6F03CE"/>
    <w:rsid w:val="DB5F5AAE"/>
    <w:rsid w:val="DB9A1455"/>
    <w:rsid w:val="DB9F8CE6"/>
    <w:rsid w:val="DBB36531"/>
    <w:rsid w:val="DCFFF6DB"/>
    <w:rsid w:val="DD3374AD"/>
    <w:rsid w:val="DD7F911C"/>
    <w:rsid w:val="DDEF14C2"/>
    <w:rsid w:val="DDFF1AC9"/>
    <w:rsid w:val="DEB2F10A"/>
    <w:rsid w:val="DED31D12"/>
    <w:rsid w:val="DEE71396"/>
    <w:rsid w:val="DEFFD507"/>
    <w:rsid w:val="DF3E203A"/>
    <w:rsid w:val="DF975D54"/>
    <w:rsid w:val="DFD32643"/>
    <w:rsid w:val="DFF9418D"/>
    <w:rsid w:val="DFFA0BDA"/>
    <w:rsid w:val="DFFE751B"/>
    <w:rsid w:val="DFFF12AA"/>
    <w:rsid w:val="DFFF5607"/>
    <w:rsid w:val="E5BD95DA"/>
    <w:rsid w:val="E78AD0FE"/>
    <w:rsid w:val="E7DB842E"/>
    <w:rsid w:val="E7FD1D18"/>
    <w:rsid w:val="E99A69E1"/>
    <w:rsid w:val="EAAE75A8"/>
    <w:rsid w:val="EAB6DBDA"/>
    <w:rsid w:val="EAF47B8C"/>
    <w:rsid w:val="EB324E5E"/>
    <w:rsid w:val="EBDD82F7"/>
    <w:rsid w:val="EBF78582"/>
    <w:rsid w:val="EC8F48C7"/>
    <w:rsid w:val="ED4B49DB"/>
    <w:rsid w:val="EDDF0068"/>
    <w:rsid w:val="EDFF72A8"/>
    <w:rsid w:val="EE1D9B51"/>
    <w:rsid w:val="EEF32057"/>
    <w:rsid w:val="EEFBDBCD"/>
    <w:rsid w:val="EEFF0220"/>
    <w:rsid w:val="EF0DC982"/>
    <w:rsid w:val="EFDF0241"/>
    <w:rsid w:val="EFE7DF6D"/>
    <w:rsid w:val="EFEB9AA4"/>
    <w:rsid w:val="EFF80432"/>
    <w:rsid w:val="EFFD84A4"/>
    <w:rsid w:val="F2BF370D"/>
    <w:rsid w:val="F2BFA698"/>
    <w:rsid w:val="F3BAA74A"/>
    <w:rsid w:val="F3E52C63"/>
    <w:rsid w:val="F3ED81F8"/>
    <w:rsid w:val="F3FE165F"/>
    <w:rsid w:val="F3FEF3A7"/>
    <w:rsid w:val="F3FFC7B0"/>
    <w:rsid w:val="F49B38F6"/>
    <w:rsid w:val="F4EF7273"/>
    <w:rsid w:val="F5D7BD02"/>
    <w:rsid w:val="F6FFA871"/>
    <w:rsid w:val="F7374D7C"/>
    <w:rsid w:val="F76B45C4"/>
    <w:rsid w:val="F76CCB79"/>
    <w:rsid w:val="F76E584E"/>
    <w:rsid w:val="F7705F7A"/>
    <w:rsid w:val="F7770E4B"/>
    <w:rsid w:val="F78ED60E"/>
    <w:rsid w:val="F7ABA0C4"/>
    <w:rsid w:val="F7BFEAB8"/>
    <w:rsid w:val="F7D3EB38"/>
    <w:rsid w:val="F7DC355D"/>
    <w:rsid w:val="F7DF0DCC"/>
    <w:rsid w:val="F7F67646"/>
    <w:rsid w:val="F7FB3B9B"/>
    <w:rsid w:val="F7FF3518"/>
    <w:rsid w:val="F835410C"/>
    <w:rsid w:val="F9CFB26C"/>
    <w:rsid w:val="F9D6D5E4"/>
    <w:rsid w:val="F9FFDE6C"/>
    <w:rsid w:val="FA7B2CC9"/>
    <w:rsid w:val="FAFE42F1"/>
    <w:rsid w:val="FB7F4A21"/>
    <w:rsid w:val="FB9FB798"/>
    <w:rsid w:val="FBAB6C3F"/>
    <w:rsid w:val="FBBCEE2B"/>
    <w:rsid w:val="FBBECFDE"/>
    <w:rsid w:val="FBD6884D"/>
    <w:rsid w:val="FBDED272"/>
    <w:rsid w:val="FBFEE761"/>
    <w:rsid w:val="FC8FA6EB"/>
    <w:rsid w:val="FCFBB5CC"/>
    <w:rsid w:val="FD335E08"/>
    <w:rsid w:val="FD49793B"/>
    <w:rsid w:val="FD6F4308"/>
    <w:rsid w:val="FD6FBFD8"/>
    <w:rsid w:val="FD7F9DCE"/>
    <w:rsid w:val="FDB780B4"/>
    <w:rsid w:val="FDCB67E9"/>
    <w:rsid w:val="FDDF3D74"/>
    <w:rsid w:val="FDF70836"/>
    <w:rsid w:val="FDFD60E6"/>
    <w:rsid w:val="FDFD8A3F"/>
    <w:rsid w:val="FDFDC8EF"/>
    <w:rsid w:val="FE5FADF0"/>
    <w:rsid w:val="FE7F7164"/>
    <w:rsid w:val="FEFC5B0B"/>
    <w:rsid w:val="FF3BE1DE"/>
    <w:rsid w:val="FF4750F5"/>
    <w:rsid w:val="FF5A9609"/>
    <w:rsid w:val="FF73BB75"/>
    <w:rsid w:val="FF97B827"/>
    <w:rsid w:val="FFA14A9F"/>
    <w:rsid w:val="FFAFCE5A"/>
    <w:rsid w:val="FFB73623"/>
    <w:rsid w:val="FFB79A4E"/>
    <w:rsid w:val="FFBF3FAE"/>
    <w:rsid w:val="FFCF3B76"/>
    <w:rsid w:val="FFD62756"/>
    <w:rsid w:val="FFDAFF20"/>
    <w:rsid w:val="FFDFE2CD"/>
    <w:rsid w:val="FFEFA500"/>
    <w:rsid w:val="FFF388DD"/>
    <w:rsid w:val="FFF57735"/>
    <w:rsid w:val="FFF5B46B"/>
    <w:rsid w:val="FFF5D022"/>
    <w:rsid w:val="FFF9A80E"/>
    <w:rsid w:val="FFFE74A4"/>
    <w:rsid w:val="FFFF2D4A"/>
    <w:rsid w:val="FFFF92FB"/>
    <w:rsid w:val="FFFFE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892A9"/>
  <w15:chartTrackingRefBased/>
  <w15:docId w15:val="{A50E334C-44BF-4961-9A02-8D6D5B53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uiPriority="99"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Body Text" w:uiPriority="99" w:unhideWhenUsed="1" w:qFormat="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cs="Arial"/>
      <w:kern w:val="2"/>
      <w:sz w:val="21"/>
      <w:szCs w:val="22"/>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link w:val="Heading2Char"/>
    <w:uiPriority w:val="9"/>
    <w:qFormat/>
    <w:pPr>
      <w:keepNext/>
      <w:keepLines/>
      <w:spacing w:line="560" w:lineRule="exact"/>
      <w:ind w:firstLineChars="200" w:firstLine="640"/>
      <w:jc w:val="left"/>
      <w:outlineLvl w:val="1"/>
    </w:pPr>
    <w:rPr>
      <w:rFonts w:ascii="Arial" w:eastAsia="FangSong" w:hAnsi="Arial" w:cs="Times New Roman"/>
      <w:b/>
      <w:sz w:val="32"/>
      <w:szCs w:val="24"/>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FangSong" w:hAnsi="Arial"/>
      <w:b/>
      <w:kern w:val="2"/>
      <w:sz w:val="32"/>
      <w:szCs w:val="24"/>
    </w:rPr>
  </w:style>
  <w:style w:type="paragraph" w:styleId="TableofAuthorities">
    <w:name w:val="table of authorities"/>
    <w:basedOn w:val="Normal"/>
    <w:next w:val="Normal"/>
    <w:pPr>
      <w:ind w:leftChars="200" w:left="420"/>
    </w:pPr>
  </w:style>
  <w:style w:type="paragraph" w:styleId="NormalIndent">
    <w:name w:val="Normal Indent"/>
    <w:basedOn w:val="Normal"/>
    <w:next w:val="Normal"/>
    <w:uiPriority w:val="99"/>
    <w:unhideWhenUsed/>
    <w:qFormat/>
    <w:pPr>
      <w:ind w:firstLine="420"/>
    </w:pPr>
  </w:style>
  <w:style w:type="paragraph" w:styleId="CommentText">
    <w:name w:val="annotation text"/>
    <w:basedOn w:val="Normal"/>
    <w:pPr>
      <w:jc w:val="left"/>
    </w:pPr>
  </w:style>
  <w:style w:type="paragraph" w:styleId="BodyText">
    <w:name w:val="Body Text"/>
    <w:basedOn w:val="Normal"/>
    <w:link w:val="BodyTextChar"/>
    <w:uiPriority w:val="99"/>
    <w:unhideWhenUsed/>
    <w:qFormat/>
    <w:rPr>
      <w:rFonts w:eastAsia="FangSong_GB2312" w:cs="Times New Roman"/>
      <w:sz w:val="30"/>
      <w:szCs w:val="32"/>
    </w:rPr>
  </w:style>
  <w:style w:type="character" w:customStyle="1" w:styleId="BodyTextChar">
    <w:name w:val="Body Text Char"/>
    <w:link w:val="BodyText"/>
    <w:uiPriority w:val="99"/>
    <w:rPr>
      <w:rFonts w:ascii="Times New Roman" w:eastAsia="FangSong_GB2312" w:hAnsi="Times New Roman"/>
      <w:kern w:val="2"/>
      <w:sz w:val="30"/>
      <w:szCs w:val="32"/>
    </w:rPr>
  </w:style>
  <w:style w:type="paragraph" w:styleId="BodyTextIndent">
    <w:name w:val="Body Text Indent"/>
    <w:basedOn w:val="Normal"/>
    <w:link w:val="BodyTextIndentChar"/>
    <w:uiPriority w:val="99"/>
    <w:unhideWhenUsed/>
    <w:qFormat/>
    <w:pPr>
      <w:spacing w:after="120"/>
      <w:ind w:leftChars="200" w:left="420"/>
    </w:pPr>
    <w:rPr>
      <w:rFonts w:cs="Calibri"/>
      <w:szCs w:val="20"/>
    </w:rPr>
  </w:style>
  <w:style w:type="character" w:customStyle="1" w:styleId="BodyTextIndentChar">
    <w:name w:val="Body Text Indent Char"/>
    <w:link w:val="BodyTextIndent"/>
    <w:uiPriority w:val="99"/>
    <w:rPr>
      <w:rFonts w:cs="Calibri"/>
      <w:kern w:val="2"/>
      <w:sz w:val="21"/>
    </w:rPr>
  </w:style>
  <w:style w:type="paragraph" w:styleId="TOC3">
    <w:name w:val="toc 3"/>
    <w:basedOn w:val="Normal"/>
    <w:next w:val="Normal"/>
    <w:qFormat/>
    <w:pPr>
      <w:ind w:leftChars="400" w:left="840"/>
    </w:pPr>
  </w:style>
  <w:style w:type="paragraph" w:styleId="PlainText">
    <w:name w:val="Plain Text"/>
    <w:basedOn w:val="Normal"/>
    <w:link w:val="PlainTextChar"/>
    <w:uiPriority w:val="99"/>
    <w:qFormat/>
    <w:rPr>
      <w:rFonts w:ascii="SimSun" w:hAnsi="Courier New"/>
      <w:kern w:val="0"/>
      <w:sz w:val="20"/>
      <w:szCs w:val="20"/>
    </w:rPr>
  </w:style>
  <w:style w:type="character" w:customStyle="1" w:styleId="PlainTextChar">
    <w:name w:val="Plain Text Char"/>
    <w:link w:val="PlainText"/>
    <w:uiPriority w:val="99"/>
    <w:rPr>
      <w:rFonts w:ascii="SimSun" w:hAnsi="Courier New" w:cs="Arial"/>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Pr>
      <w:rFonts w:cs="Arial"/>
      <w:kern w:val="2"/>
      <w:sz w:val="18"/>
      <w:szCs w:val="18"/>
    </w:rPr>
  </w:style>
  <w:style w:type="paragraph" w:styleId="Footer">
    <w:name w:val="footer"/>
    <w:basedOn w:val="Normal"/>
    <w:link w:val="FooterChar"/>
    <w:uiPriority w:val="99"/>
    <w:qFormat/>
    <w:pPr>
      <w:tabs>
        <w:tab w:val="center" w:pos="4153"/>
        <w:tab w:val="right" w:pos="8306"/>
      </w:tabs>
      <w:snapToGrid w:val="0"/>
      <w:jc w:val="left"/>
    </w:pPr>
    <w:rPr>
      <w:rFonts w:cs="Times New Roman"/>
      <w:kern w:val="0"/>
      <w:sz w:val="18"/>
      <w:szCs w:val="18"/>
    </w:rPr>
  </w:style>
  <w:style w:type="character" w:customStyle="1" w:styleId="FooterChar">
    <w:name w:val="Footer Char"/>
    <w:link w:val="Footer"/>
    <w:uiPriority w:val="99"/>
    <w:qFormat/>
    <w:rPr>
      <w:rFonts w:ascii="Times New Roman" w:hAnsi="Times New Roman"/>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rPr>
      <w:rFonts w:cs="Arial"/>
      <w:kern w:val="2"/>
      <w:sz w:val="18"/>
      <w:szCs w:val="18"/>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cs="Times New Roman" w:hint="eastAsia"/>
      <w:kern w:val="0"/>
      <w:sz w:val="24"/>
      <w:szCs w:val="24"/>
    </w:rPr>
  </w:style>
  <w:style w:type="paragraph" w:styleId="NormalWeb">
    <w:name w:val="Normal (Web)"/>
    <w:basedOn w:val="Normal"/>
    <w:uiPriority w:val="99"/>
    <w:unhideWhenUsed/>
    <w:qFormat/>
    <w:pPr>
      <w:spacing w:before="100" w:beforeAutospacing="1" w:after="100" w:afterAutospacing="1"/>
      <w:jc w:val="left"/>
    </w:pPr>
    <w:rPr>
      <w:rFonts w:cs="Times New Roman"/>
      <w:kern w:val="0"/>
      <w:sz w:val="24"/>
      <w:szCs w:val="20"/>
    </w:rPr>
  </w:style>
  <w:style w:type="paragraph" w:styleId="BodyTextFirstIndent2">
    <w:name w:val="Body Text First Indent 2"/>
    <w:basedOn w:val="BodyTextIndent"/>
    <w:link w:val="BodyTextFirstIndent2Char"/>
    <w:uiPriority w:val="99"/>
    <w:unhideWhenUsed/>
    <w:qFormat/>
    <w:pPr>
      <w:ind w:firstLineChars="200" w:firstLine="420"/>
    </w:pPr>
    <w:rPr>
      <w:rFonts w:cs="Times New Roman"/>
      <w:szCs w:val="24"/>
    </w:rPr>
  </w:style>
  <w:style w:type="character" w:customStyle="1" w:styleId="BodyTextFirstIndent2Char">
    <w:name w:val="Body Text First Indent 2 Char"/>
    <w:link w:val="BodyTextFirstIndent2"/>
    <w:uiPriority w:val="99"/>
    <w:rPr>
      <w:rFonts w:ascii="Times New Roman" w:hAnsi="Times New Roman" w:cs="Calibri"/>
      <w:kern w:val="2"/>
      <w:sz w:val="21"/>
      <w:szCs w:val="24"/>
    </w:rPr>
  </w:style>
  <w:style w:type="table" w:styleId="TableGrid">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ontstyle01">
    <w:name w:val="fontstyle01"/>
    <w:qFormat/>
    <w:rPr>
      <w:rFonts w:ascii="FangSong" w:eastAsia="FangSong" w:hAnsi="FangSong" w:cs="FangSong"/>
      <w:color w:val="000000"/>
      <w:sz w:val="32"/>
      <w:szCs w:val="32"/>
    </w:rPr>
  </w:style>
  <w:style w:type="character" w:customStyle="1" w:styleId="font71">
    <w:name w:val="font71"/>
    <w:rPr>
      <w:rFonts w:ascii="SimSun" w:eastAsia="SimSun" w:hAnsi="SimSun" w:cs="SimSun" w:hint="eastAsia"/>
      <w:i w:val="0"/>
      <w:iCs w:val="0"/>
      <w:color w:val="000000"/>
      <w:sz w:val="24"/>
      <w:szCs w:val="24"/>
      <w:u w:val="none"/>
    </w:rPr>
  </w:style>
  <w:style w:type="character" w:customStyle="1" w:styleId="ctiao">
    <w:name w:val="c_tiao"/>
    <w:rPr>
      <w:rFonts w:ascii="SimSun" w:eastAsia="SimSun" w:hAnsi="SimSun" w:cs="SimSun"/>
      <w:b/>
      <w:bCs/>
      <w:sz w:val="24"/>
      <w:szCs w:val="24"/>
    </w:rPr>
  </w:style>
  <w:style w:type="character" w:customStyle="1" w:styleId="font61">
    <w:name w:val="font61"/>
    <w:rPr>
      <w:rFonts w:ascii="方正仿宋_GBK" w:eastAsia="方正仿宋_GBK" w:hAnsi="方正仿宋_GBK" w:cs="方正仿宋_GBK" w:hint="default"/>
      <w:i w:val="0"/>
      <w:iCs w:val="0"/>
      <w:color w:val="000000"/>
      <w:sz w:val="24"/>
      <w:szCs w:val="24"/>
      <w:u w:val="none"/>
    </w:rPr>
  </w:style>
  <w:style w:type="paragraph" w:customStyle="1" w:styleId="czhang">
    <w:name w:val="c_zhang"/>
    <w:basedOn w:val="Normal"/>
    <w:pPr>
      <w:jc w:val="center"/>
    </w:pPr>
    <w:rPr>
      <w:rFonts w:ascii="SimSun" w:hAnsi="SimSun" w:cs="SimSun"/>
      <w:b/>
      <w:bCs/>
      <w:sz w:val="24"/>
      <w:szCs w:val="24"/>
    </w:rPr>
  </w:style>
  <w:style w:type="paragraph" w:customStyle="1" w:styleId="1">
    <w:name w:val="正文缩进1"/>
    <w:next w:val="TableofAuthorities"/>
    <w:pPr>
      <w:widowControl w:val="0"/>
      <w:ind w:firstLineChars="200" w:firstLine="200"/>
      <w:jc w:val="both"/>
    </w:pPr>
    <w:rPr>
      <w:kern w:val="2"/>
      <w:sz w:val="21"/>
      <w:szCs w:val="24"/>
    </w:rPr>
  </w:style>
  <w:style w:type="paragraph" w:customStyle="1" w:styleId="CM8">
    <w:name w:val="CM8"/>
    <w:basedOn w:val="Normal"/>
    <w:next w:val="Normal"/>
    <w:pPr>
      <w:autoSpaceDE w:val="0"/>
      <w:autoSpaceDN w:val="0"/>
      <w:adjustRightInd w:val="0"/>
      <w:spacing w:line="623" w:lineRule="atLeast"/>
      <w:jc w:val="left"/>
    </w:pPr>
    <w:rPr>
      <w:rFonts w:ascii="SimSun" w:cs="SimSun"/>
      <w:kern w:val="0"/>
      <w:sz w:val="24"/>
      <w:szCs w:val="24"/>
    </w:rPr>
  </w:style>
  <w:style w:type="paragraph" w:customStyle="1" w:styleId="titlem">
    <w:name w:val="title_m"/>
    <w:basedOn w:val="Normal"/>
    <w:pPr>
      <w:jc w:val="center"/>
    </w:pPr>
    <w:rPr>
      <w:rFonts w:ascii="SimSun" w:hAnsi="SimSun" w:cs="SimSun"/>
      <w:b/>
      <w:bCs/>
      <w:sz w:val="32"/>
      <w:szCs w:val="32"/>
    </w:rPr>
  </w:style>
  <w:style w:type="paragraph" w:customStyle="1" w:styleId="BodyText0">
    <w:name w:val="BodyText"/>
    <w:basedOn w:val="Normal"/>
    <w:qFormat/>
    <w:pPr>
      <w:textAlignment w:val="baseline"/>
    </w:pPr>
    <w:rPr>
      <w:rFonts w:ascii="DengXian" w:eastAsia="DengXian" w:hAnsi="DengXian" w:cs="SimHei"/>
    </w:rPr>
  </w:style>
  <w:style w:type="paragraph" w:styleId="Revision">
    <w:name w:val="Revision"/>
    <w:hidden/>
    <w:uiPriority w:val="99"/>
    <w:unhideWhenUsed/>
    <w:rsid w:val="00245AB2"/>
    <w:rPr>
      <w:rFonts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3055</Words>
  <Characters>17419</Characters>
  <Application>Microsoft Office Word</Application>
  <DocSecurity>0</DocSecurity>
  <Lines>145</Lines>
  <Paragraphs>40</Paragraphs>
  <ScaleCrop>false</ScaleCrop>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海南省“十五五”服务业发展规划</dc:title>
  <dc:subject/>
  <dc:creator>Administrator</dc:creator>
  <cp:keywords/>
  <cp:lastModifiedBy>Patrick Quinn</cp:lastModifiedBy>
  <cp:revision>2</cp:revision>
  <cp:lastPrinted>2026-07-15T10:58:00Z</cp:lastPrinted>
  <dcterms:created xsi:type="dcterms:W3CDTF">2026-08-04T07:51:00Z</dcterms:created>
  <dcterms:modified xsi:type="dcterms:W3CDTF">2026-08-04T07:51:00Z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7325DDC6BC8DE53582B7596A9FA113A1</vt:lpwstr>
  </property>
  <property fmtid="{D5CDD505-2E9C-101B-9397-08002B2CF9AE}" pid="4" name="KSOTemplateDocerSaveRecord">
    <vt:lpwstr>eyJoZGlkIjoiMDc5NmNhOTIzODZlNWQ3OTA0OGRkZjkxODg0N2UwYzAiLCJ1c2VySWQiOiI1MDg0MTQ4MjIifQ==</vt:lpwstr>
  </property>
</Properties>
</file>